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ROE on distributable profit of 8–10% (not the shareholder's return); reported ROE follows the appraisal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660</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 About two-thirds of Chile's 29% uplift came from a lower appraisal discount rate (6.62% to 5.64% real, Note 11), not from higher NOI (Appendix 3C).</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with the same adjustment we apply to peers it would be 10.0%, the highest of the three (Appendix 6). FFO, which we rebuild from the statements to within 0.02% of the reported CLP 405bn (Figure 2),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0.097x and 1.77x accounting leverage. It is not the shareholder's return: the denominator is equity at appraised value, and each revaluation raises its book value without generating cash flow, because it is a non-cash fair-value change that does not enter FFO or dividends. We therefore forecast normalized ROE of 8–9%, rising only with leverage.</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(Appendix 3C).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the 7.4% growth of 1H26 falls to ~3.0% real (Figure 3): Chile 2.8% (UF +3.1%), Peru 4.5% (occupancy 93.8%) and Colombia ~1% net of the 7.5% COP appreciation and 6.1% inflation.</w:t>
            </w:r>
          </w:p>
          <w:p>
            <w:pPr>
              <w:spacing w:after="60" w:before="0" w:line="228" w:lineRule="auto"/>
              <w:jc w:val="both"/>
            </w:pPr>
            <w:r>
              <w:rPr>
                <w:rFonts w:ascii="Arial" w:cs="Arial" w:eastAsia="Arial" w:hAnsi="Arial"/>
                <w:color w:val="1A1A1A"/>
                <w:sz w:val="16"/>
                <w:szCs w:val="16"/>
              </w:rPr>
              <w:t xml:space="preserve">In our reading, growth depends more on contracts than on sales: variable rent is 5.1% of 1H26 revenue and fell 1.1% while tenant sales rose 6.7%, because minimum rents (+5.5%) are outpacing sales (+3.7%). It is not a bond: 15.1% of GLA expires within two years and tenant solvency matters, and real growth converges on the 0.4–0.9% of the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further room looks limited</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And Chile's margin gained 2.4pp on a higher recovery of common charges, presented net of cost (Note 2.20): real, but dependent on occupancy and tenant negotiations, so we do not extrapolate it.</w:t>
            </w:r>
          </w:p>
          <w:p>
            <w:pPr>
              <w:spacing w:after="60" w:before="0" w:line="228" w:lineRule="auto"/>
              <w:jc w:val="both"/>
            </w:pPr>
            <w:r>
              <w:rPr>
                <w:rFonts w:ascii="Arial" w:cs="Arial" w:eastAsia="Arial" w:hAnsi="Arial"/>
                <w:color w:val="1A1A1A"/>
                <w:sz w:val="16"/>
                <w:szCs w:val="16"/>
              </w:rPr>
              <w:t xml:space="preserve">Operating costs (cost of sales plus administration) were 20.1% of revenue in 2025 and include D&amp;A (0.55%): 20.1% − 0.55% = 19.5% = 1 − EBITDA margin (Appendix 3). If they were fixed, a 1% fall in revenue would cut EBITDA by 1.24% (1.1% if half were variable). In 1H26 EBITDA grew 7.4%, in line with revenue, and margin held at 79.7%. Administrative expense rose 18.1% on payroll (+18.9%: CEO transition and a full year of Peru), bad debts normalizing from a 2025 base flattered by recoveries, and a one-off Colombian wealth tax of CLP 1.7bn. Excluding the last two, 1H26 margin would be 80.4%.</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before debt and 1.8x after repaying it</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Cash tax was only 15% of operating profit, sheltered by tax goodwill and loss carry-forwards (Note 13), and will rise toward the 27% statutory rate. After capex and net interest, free cash flow before debt was CLP 280bn, covering dividends 2.6x (Figure 4); 1.8x after repaying net debt (Appendix 2D).</w:t>
            </w:r>
          </w:p>
          <w:p>
            <w:pPr>
              <w:spacing w:after="60" w:before="0" w:line="228" w:lineRule="auto"/>
              <w:jc w:val="both"/>
            </w:pPr>
            <w:r>
              <w:rPr>
                <w:rFonts w:ascii="Arial" w:cs="Arial" w:eastAsia="Arial" w:hAnsi="Arial"/>
                <w:color w:val="1A1A1A"/>
                <w:sz w:val="16"/>
                <w:szCs w:val="16"/>
              </w:rPr>
              <w:t xml:space="preserve">The CLP 71.9bn (+38.6%) rise in 1H26 operating cash flow comes 78% from higher collections (partly December balances: receivable days from 66 to 50) and 15% from lower taxes paid; we do not extrapolate it.</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and the covenant (net debt/equity ≤ 2.0x; 0.26x at June) does not constrain it: retained cash was CLP 171.6bn in 2025. In the base case, FFO rises from CLP 428.5bn in 2026E to 512.6bn in 2031E and ordinary dividends from CLP 147.7bn to 176.5bn; the remaining cash, together with new debt, funds capex and the additional distributions (Appendix 5).</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the USD 579m of remaining dated pipeline over 2026–2028 (including USD 134m of other projects in Chile) and then keeps adding about 27,000 m² a year, the 2022–2025 organic pace: total capex settles near 16% of revenue, 5.5% maintenance and ~11% incremental (Figure 7).</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5). Cash-flow metrics support Feller Rate's upgrade to AAA (25 September 2026), but of the fall in net debt/EBITDA from 3.78x to 2.36x, 0.75x is perimeter (Peru consolidated one month in 2024; pro forma ≥ 3.0x), 0.39x EBITDA growth and only 0.28x lower debt (Appendix 3B).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with UF indexation the all-in nominal cost was about 7% in 2025. Maturities cluster in 2029, 2031 and 2033 (Figure 6); refinancing series S (1.32% effective) at the latest issue's 4.33% would add about CLP 4.9bn a year.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2). Against peers the balance sheet is conservative: LTV of 18.8% versus 42.9% at Parque Arauco and 16.3% at Cencosud Shopping, and net debt/EBITDA of 2.49x versus 5.68x and 2.11x (Appendix 6).</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1.7tn cumulatively over 2H26E–2031E (Appendix 5). At 3.5x the new AAA would likely come under pressure.</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6.9%), as real same-store growth converges to the appraisal midpoints, 170,200 m² of dated pipeline matures (including 46,500 m² of other projects in Chile opening in 2028) and, from 2029E, about 27,000 m² a year opens at the historical pace (Figure 7); 2026E revenue sits 0.3% above the BEst consensus of 13 analysts (Appendix 3C). EBITDA margin stays at 79.7–79.8%, below the 2025 peak. Cash tax (Chile's rate) normalizes from 16.8% to 27% by 2030E and financial costs rise with leverage, so FFO margin slides from 60.9% to 52.2%. Working capital is held at 15.6% of revenue, the December 2025 level (Appendix 1). New GLA yields 7.3% on cost, a 5.3%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4), and distributable profit as the anchor, not the CLP 1,431bn accounting profit. Second, business quality is not in doubt: with the same adjustment for all three, Mallplaza earns the highest normalized ROE of its local peers (10.0% against 7.8% at Parque Arauco and 8.0% at Cencosud Shopping) with an LTV of 18.8% (Appendix 6).</w:t>
            </w:r>
          </w:p>
          <w:p>
            <w:pPr>
              <w:spacing w:after="60" w:before="0" w:line="228" w:lineRule="auto"/>
              <w:jc w:val="both"/>
            </w:pPr>
            <w:r>
              <w:rPr>
                <w:rFonts w:ascii="Arial" w:cs="Arial" w:eastAsia="Arial" w:hAnsi="Arial"/>
                <w:color w:val="1A1A1A"/>
                <w:sz w:val="16"/>
                <w:szCs w:val="16"/>
              </w:rPr>
              <w:t xml:space="preserve">Third, existing capital barely earns its cost. 2025 ROIC, with NOPAT at 27% over capital at appraised value, was 7.3%, in line with our 7.2% real WACC; the comparison is with the real rate because that ROIC excludes revaluation (Appendix 3). New capital, by contrast, earns less than its cost (RONIC of 5.3%).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After the pipeline, incremental capex for continuous expansion keeps total capex near CLP 150bn a year; net debt/EBITDA rises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of 1H26 (no breakdown by type). Maintenance + IT = 5.5% of revenue; incremental = pipeline under way + continuous expansion. 2024A: one month of Peru EBITDA. Source: Plaza S.A. financial statements (CMF); 2Q26 results release; model v4 (Appendix [B]).</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cf5efedec970dddabf7ad7f0397fa946dde7af.png"/><Relationship Id="rId10" Type="http://schemas.openxmlformats.org/officeDocument/2006/relationships/image" Target="media/67d3af205c0720abae927a295402b8173067a71d.png"/><Relationship Id="rId11" Type="http://schemas.openxmlformats.org/officeDocument/2006/relationships/image" Target="media/0ecdedf336d9450fef0f4340e7d2f3445bf5d5ea.png"/><Relationship Id="rId12" Type="http://schemas.openxmlformats.org/officeDocument/2006/relationships/image" Target="media/0e8de6046ea8cf465c51ece1e2db1d0fdb7f5b9e.png"/><Relationship Id="rId13" Type="http://schemas.openxmlformats.org/officeDocument/2006/relationships/image" Target="media/fbaa45cc822c3cf6d5ceb7547cdd01441f6bb8f4.png"/><Relationship Id="rId14" Type="http://schemas.openxmlformats.org/officeDocument/2006/relationships/image" Target="media/dc8b801e649da54e7f89f24358a854500a6aa7a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2026-10-17T22:57:58.015Z</dcterms:created>
  <dcterms:modified xsi:type="dcterms:W3CDTF">2026-10-17T22:57:58.016Z</dcterms:modified>
</cp:coreProperties>
</file>

<file path=docProps/custom.xml><?xml version="1.0" encoding="utf-8"?>
<Properties xmlns="http://schemas.openxmlformats.org/officeDocument/2006/custom-properties" xmlns:vt="http://schemas.openxmlformats.org/officeDocument/2006/docPropsVTypes"/>
</file>