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[Y]: CORPORATE GOVERNANCE AND SUSTAINABILITY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Supporting information for the ESG section: ownership structure, Board of Directors, compliance, stakeholder engagement model, organisational culture and waste. Main source: Mallplaza Annual Report 2025.</w:t>
      </w:r>
    </w:p>
    <w:p>
      <w:pPr>
        <w:pBdr>
          <w:bottom w:val="single" w:color="E9004B" w:sz="8" w:space="1"/>
        </w:pBdr>
        <w:spacing w:after="50" w:before="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1. OWNERSHIP STRUCTURE (31-DEC-2025)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Figure S1: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Shareholding by type of shareholder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Mallplaza Annual Report 2025 (NCG 461 2.3.3). No ADRs or certificates issued abroad.</w:t>
      </w:r>
    </w:p>
    <w:p>
      <w:pPr>
        <w:spacing w:before="8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66"/>
        <w:gridCol w:w="2200"/>
        <w:gridCol w:w="2200"/>
      </w:tblGrid>
      <w:tr>
        <w:trPr>
          <w:tblHeader/>
        </w:trPr>
        <w:tc>
          <w:tcPr>
            <w:tcW w:type="dxa" w:w="6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Ten largest shareholders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Shares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% of shares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Desarrollos Inmobiliarios SpA (Falabella)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1,161,849,244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53.10%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Inversiones Avenida Borgoño Limitada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197,439,955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9.02%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Banchile Corredores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59,447,149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2.71%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BCI Corredor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53,553,765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2.45%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Pension Fund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50,733,976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2.32%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Santiago Stock Exchange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41,532,310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1.90%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Provida S.A. Pension Fund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37,746,440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1.72%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Banco Santander on behalf of foreign investors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35,594,345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1.63%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Capital S.A. Pension Fund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34,539,038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1.58%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Pension Fund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30,039,097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1.37%</w:t>
            </w:r>
          </w:p>
        </w:tc>
      </w:tr>
    </w:tbl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2. BOARD OF DIRECTORS (ELECTED 22-APR-2025)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Figure S2: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Board members (red: independent director; blue: chairman)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9 full members, no alternates; one independent director. Each director holds at most four positions in other listed companies. Tomás Müller, Manuela Sánchez and Juan Pablo Montero were directors until 22-Apr-2025. 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3. ETHICS AND COMPLIANCE,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666"/>
        <w:gridCol w:w="2000"/>
      </w:tblGrid>
      <w:tr>
        <w:trPr>
          <w:tblHeader/>
        </w:trPr>
        <w:tc>
          <w:tcPr>
            <w:tcW w:type="dxa" w:w="8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Matter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Cases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Corruption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Breaches of customer rights (Consumer Protection Law 19,496)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27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Breaches of employee rights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Proceedings by the Environment Superintendency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Complaints of workplace, sexual harassment and violence at work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4. STAKEHOLDER ENGAGEMENT MODEL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Figure S3: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Implementation process of the engagement model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5. ORGANISATIONAL CULTURE: 2025 CULTURE SURVEY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76"/>
        <w:gridCol w:w="120"/>
        <w:gridCol w:w="2576"/>
        <w:gridCol w:w="120"/>
        <w:gridCol w:w="2576"/>
        <w:gridCol w:w="120"/>
        <w:gridCol w:w="2578"/>
      </w:tblGrid>
      <w:tr>
        <w:tc>
          <w:tcPr>
            <w:tcW w:type="dxa" w:w="2576"/>
            <w:tcBorders>
              <w:top w:val="single" w:color="E900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E9004B"/>
                <w:sz w:val="30"/>
                <w:szCs w:val="30"/>
              </w:rPr>
              <w:t xml:space="preserve">75%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Engagement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−2 pp vs 2024 · 2025 target: 80%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37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eNPS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−10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88%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Leadership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+2 pp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8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93%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Participation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+3 pp vs 2024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Leadership (88%) is the main asset to leverage the strategy. 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6. WASTE,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S4: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Waste generation by country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323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Source: Mallplaza Annual Report 2025.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before="200"/>
            </w:pP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32,424.86 tonnes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of waste across the region: 76% in Chile, 16% in Colombia and 7% in Peru.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46.2% recovered: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14,987.57 t of non-hazardous waste went to energy recovery through biogas (40.4%), recycling (36.1%) and composting (23.5%); the rest went to disposal, mainly sanitary landfills.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Hazardous waste: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9.03 t, a marginal amount given the nature of the business.</w:t>
            </w:r>
          </w:p>
        </w:tc>
      </w:tr>
    </w:tbl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7. ESG RISK MATRIX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Figure S5: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ESG factor matrix and its effect on the investment case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461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Materiality, time horizon, ability to absorb losses and net effect are team assessments. Framework adapted from S&amp;P Global Ratings' approach to ESG credit factors. Source: Mallplaza Annual Report 2025, Bloomberg, MSCI, Sustainalytics, S&amp;P Global; Team analysis.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8. EXECUTIVE TEAM TRACK RECORD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2300"/>
        <w:gridCol w:w="1000"/>
        <w:gridCol w:w="2000"/>
        <w:gridCol w:w="3466"/>
      </w:tblGrid>
      <w:tr>
        <w:trPr>
          <w:tblHeader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Name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Role at PLAZA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Tenure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Previous experience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Profile and responsibilities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Pablo Pulido Sierra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CEO (since 2026)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10 years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Grupo Casino, Grupo Éxito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Commercial profile; experience in regional integrations.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Fernando de Peña Iver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CEO (until 2025)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35 years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Career at Mallplaza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Led the company until 2025; extensive career in Latin American retail.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Derek Schweitzer Tang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Chief Administration and Finance Officer (CFO)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Since 2023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BRMalls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International experience; his area leads the financial structure and the entry into global indices (MSCI).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Carlos Honorato C.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CTO, Chief Technology Officer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 years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Ripley.com, Neoris, Alto Movup, ProChile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Responsible for modernizing omnichannel sales and corporate cybersecurity.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María Sol de Cabo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Chief People and Culture Officer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Since 2025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Betterfly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Over 20 years of international experience in talent management.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Oscar Munizaga Delfín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Chief Development and Business Officer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34 years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Career at Mallplaza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Responsible for growth through M&amp;A and greenfield developments.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Luis Hernán Silva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Chief Legal, Risk and Compliance Officer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27 years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Career at Mallplaza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Responsible for corporate legal affairs and risk and compliance management.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company public information; Team notes (track record).</w:t>
      </w:r>
    </w:p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76e5c5d5e3b831d3a6082e34880dd0764b9702.png"/><Relationship Id="rId10" Type="http://schemas.openxmlformats.org/officeDocument/2006/relationships/image" Target="media/6c32e3d1a1d4ea4565596481224b7e392927ea41.png"/><Relationship Id="rId11" Type="http://schemas.openxmlformats.org/officeDocument/2006/relationships/image" Target="media/fb371acf9afb43003bfd5fcfe998ff3f42126817.png"/><Relationship Id="rId12" Type="http://schemas.openxmlformats.org/officeDocument/2006/relationships/image" Target="media/9d7f4f37ccf94ef7fd235868df77621056da952c.png"/><Relationship Id="rId13" Type="http://schemas.openxmlformats.org/officeDocument/2006/relationships/image" Target="media/b6ce42f600e79cb79b0a52817697edfb12996ec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2026-10-17T22:57:59.630Z</dcterms:created>
  <dcterms:modified xsi:type="dcterms:W3CDTF">2026-10-17T22:57:59.630Z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