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53,10%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Miembros del Directorio (rojo: director independiente; azul: presidente)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7. MATRIZ DE RIESGO ESG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S5: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Matriz de factores ESG y su efecto en el caso de inversión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Materialidad, horizonte, capacidad de absorber pérdidas y efecto neto son juicios del equipo. Marco adaptado del enfoque de S&amp;P Global Ratings para factores ESG de crédito. Fuente: Memoria Mallplaza 2025, Bloomberg, MSCI, Sustainalytics, S&amp;P Global; análisis del equipo.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8. TRACK RECORD DEL EQUIPO EJECUTIVO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2300"/>
        <w:gridCol w:w="1000"/>
        <w:gridCol w:w="2000"/>
        <w:gridCol w:w="346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Nombre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Cargo en PLAZA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Antigüedad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Experiencia previa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Perfil y responsabilidades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Pablo Pulido Sierra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General (desde 2026)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10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Grupo Casino, Grupo Éxito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Perfil comercial; experiencia en integraciones regionales.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Fernando de Peña Iver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General (hasta 2025)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Trayectoria en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Conduce la compañía hasta 2025; amplia trayectoria en el retail latinoamericano.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Derek Schweitzer Tang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de Administración y Finanzas (CFO)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Desde 2023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BRMalls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Experiencia internacional; su área lidera la estructura financiera y el ingreso a índices globales (MSCI).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Carlos Honorato C.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CTO, Gerente de Tecnología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Ripley.com, Neoris, Alto Movup, ProChile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Responsable de la modernización de las ventas omnicanal y de la ciberseguridad corporativa.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María Sol de Cabo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de Personas y Cultura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Desde 2025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Betterfly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Más de 20 años de trayectoria internacional en gestión de talento.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Oscar Munizaga Delfín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de Desarrollo y Negocios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Trayectoria en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Responsable del crecimiento mediante M&amp;A y desarrollos greenfield.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Luis Hernán Silva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Legal, Riesgos y Cumplimiento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Trayectoria en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Responsable legal corporativo y de la gestión de riesgos y cumplimiento.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información pública de la compañía; Punteo del equipo (track record).</w:t>
      </w:r>
    </w:p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e8812a3136aa29736494e44ab849dc7868369a.png"/><Relationship Id="rId10" Type="http://schemas.openxmlformats.org/officeDocument/2006/relationships/image" Target="media/a1d8382ea339674a86ad98c542df97d034942bd7.png"/><Relationship Id="rId11" Type="http://schemas.openxmlformats.org/officeDocument/2006/relationships/image" Target="media/dbaedb451f19eb2ab39541b003ff01e6177ade9c.png"/><Relationship Id="rId12" Type="http://schemas.openxmlformats.org/officeDocument/2006/relationships/image" Target="media/b6d2ae5f89549048d7c9582bcdc25f29ceb9fdcd.png"/><Relationship Id="rId13" Type="http://schemas.openxmlformats.org/officeDocument/2006/relationships/image" Target="media/167c415de4f58364ea21a1bf111a48492f86fb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2026-10-17T22:57:59.307Z</dcterms:created>
  <dcterms:modified xsi:type="dcterms:W3CDTF">2026-10-17T22:57:59.307Z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