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competition in Chile (Figure E1), but this is offset by the company's “green” profile at the local level, since it ranks among the leading REM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the benefits of its own operations, the implementation of an energy management system (EnMS) certified under ISO 50001 translates into better energy performance and therefore lower operating costs. The opportunities to access local external benefits are tied to the company's ESG image: in Chile, under the R&amp;D Law (CORFO), PLAZA can obtain up to a 55% reduction in first-category tax; Peru recognizes the company with 2 out of 4 stars in “Huella de Carbono Perú”, which strengthens its image and makes it easier to obtain permits and licenses in the country; and Colombia has Law 2099 of 2021, which allows income-tax deductions for investments in environmental control, conservation and improvement. In addition, the company holds certifications and recognitions that support its ESG image and has joined indices such as DJSI MILA (Figure E1). Figure E6 estimates (as a scenario, not as data) that operating ESG savings add about CLP 2 per share and that a 25 bp cut in the cost of debt and equity would add CLP 72, against the CLP 1,478 that separate the target price from the share price.</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which translates into cost savings in its operations. To this end, it has set three strategic focus areas on ESG parameters: energy and water efficiency, carbon footprint, and waste management. PLAZA's main objective is to achieve carbon neutrality, targeting Net Zero in direct and indirect emissions by 2035 (65.6% success rate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success rate in 2025; Figure E2). The electricity efficiency target is for 100% to come from renewable energy by 2026 (89.3% success rate). In 2025, the annual ratio was 0.16 MWh/m² (Energy/GLA), of which 0.14 was renewable and 0.014 non-renewable (Figure E3).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(average)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success rate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the waste generated in 2025 (94.8% success rate; Figure E3 and Appendix [Y], Figure S4),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an environmental due diligence on asset acquisitions, under an environmental compliance program aligned with ISO 14001 and monitored by the sustainability committee.</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(Appendix [Y], Figure S3),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materiality assessments and organizational culture surveys (Appendix [Y], section 5), and remains alert to any social incident through its integrity hotline. It is also recognized by CADEM at 31st out of 385 in “Marcas Ciudadanas” (“Citizen Brands”), winning the “Shopping Centers” category (2026). Regarding employees, they receive training and even have access to specific programs for those nearing retirement;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E4).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E4), a point in the company's favor in terms of workforce balance, but there is a gender pay gap averaging 28% at the regional level, which undermines that balance; in addition, there is only one woman on the Board, out of 9 directors. The target for 2028 is for 60% of the properties to be certified as inclusive spaces, and PLAZA obtained the “Sello Mayor” (“Senior Seal”) at one of its urban centers, the first in Chile to obtain it, a distinction that certifies physical and operational adaptation for older adults. These certifications matter to the community, and as PLAZA expands it is important that it builds to the parameters the certification requires, avoiding additional costs of retrofitting those facilities in the future, and begins the transition of its existing centers to these conditions.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r>
              <w:br/>
            </w: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105025"/>
                          </a:xfrm>
                          <a:prstGeom prst="rect">
                            <a:avLst/>
                          </a:prstGeom>
                        </pic:spPr>
                      </pic:pic>
                    </a:graphicData>
                  </a:graphic>
                </wp:inline>
              </w:drawing>
            </w:r>
            <w:r>
              <w:br/>
            </w: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keepLines/>
              <w:spacing w:after="20" w:before="90" w:line="240"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keepLines/>
              <w:spacing w:after="20" w:before="90" w:line="240"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The Board is composed of 9 members, only one of whom is classified as independent, below 50%, which creates agency risks (Figure E5 and Appendix [Y], Figure S2) and is the only unfavorable factor in the ESG risk matrix (Appendix [Y], Figure S5). This body is responsible for defining PLAZA's objectives, strategies and policies, while the directors' committee (composed of 3 members) reviews the balance sheets and financial statements, seeking to mitigate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Executive compensation:</w:t>
            </w:r>
            <w:r>
              <w:rPr>
                <w:rFonts w:ascii="Arial" w:cs="Arial" w:eastAsia="Arial" w:hAnsi="Arial"/>
                <w:i w:val="false"/>
                <w:iCs w:val="false"/>
                <w:color w:val="1A1A1A"/>
                <w:sz w:val="16"/>
                <w:szCs w:val="16"/>
              </w:rPr>
              <w:t xml:space="preserve"> 33.3% of executives' variable pay depends on ESG KPIs, and in total 61% is tied to non-financial metrics (Figure E5), which aligns management's incentives with PLAZA's ESG goals.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(53.10% of the shares; Appendix [Y], Figure S1);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in 2025 the company reported regional non-compliance cases and complaints related to workers and customers, but none concerning corruption or conduct that undermines market development (Appendix [Y], section 3).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Lines/>
              <w:spacing w:after="20" w:before="90" w:line="240" w:lineRule="auto"/>
            </w:pPr>
            <w:r>
              <w:rPr>
                <w:rFonts w:ascii="Arial" w:cs="Arial" w:eastAsia="Arial" w:hAnsi="Arial"/>
                <w:b/>
                <w:bCs/>
                <w:color w:val="14284B"/>
                <w:sz w:val="14"/>
                <w:szCs w:val="14"/>
              </w:rPr>
              <w:t xml:space="preserve">Figure E6: </w:t>
            </w:r>
            <w:r>
              <w:rPr>
                <w:rFonts w:ascii="Arial" w:cs="Arial" w:eastAsia="Arial" w:hAnsi="Arial"/>
                <w:color w:val="14284B"/>
                <w:sz w:val="14"/>
                <w:szCs w:val="14"/>
              </w:rPr>
              <w:t xml:space="preserve">ESG savings and lower cost of capital versus the share price (scenario).</w:t>
            </w:r>
            <w:r>
              <w:br/>
            </w:r>
            <w:r>
              <w:drawing>
                <wp:inline distT="0" distB="0" distL="0" distR="0">
                  <wp:extent cx="22574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86000"/>
                          </a:xfrm>
                          <a:prstGeom prst="rect">
                            <a:avLst/>
                          </a:prstGeom>
                        </pic:spPr>
                      </pic:pic>
                    </a:graphicData>
                  </a:graphic>
                </wp:inline>
              </w:drawing>
            </w:r>
            <w:r>
              <w:br/>
            </w: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v3, ESG_Ahorros sheet;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436bb3aa9a686f40cb70464b01c0030364a1d6.png"/><Relationship Id="rId10" Type="http://schemas.openxmlformats.org/officeDocument/2006/relationships/image" Target="media/9186d6d0fd41b9f3fd8c32d4b6b821345cc10ac1.png"/><Relationship Id="rId11" Type="http://schemas.openxmlformats.org/officeDocument/2006/relationships/image" Target="media/51e598226025a42a737e6fef5a13425c2c8649a0.png"/><Relationship Id="rId12" Type="http://schemas.openxmlformats.org/officeDocument/2006/relationships/image" Target="media/9570f91f852c6c39aad8d6f047dd2c1bef9ac37e.png"/><Relationship Id="rId13" Type="http://schemas.openxmlformats.org/officeDocument/2006/relationships/image" Target="media/7f8911a6a4fdcc2831d9e8a06b4c90219a71b39d.png"/><Relationship Id="rId14" Type="http://schemas.openxmlformats.org/officeDocument/2006/relationships/image" Target="media/a5d67bc4cccf18f1e9866ab0fddc8f7585c3514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2026-10-17T22:57:59.567Z</dcterms:created>
  <dcterms:modified xsi:type="dcterms:W3CDTF">2026-10-17T22:57:59.567Z</dcterms:modified>
</cp:coreProperties>
</file>

<file path=docProps/custom.xml><?xml version="1.0" encoding="utf-8"?>
<Properties xmlns="http://schemas.openxmlformats.org/officeDocument/2006/custom-properties" xmlns:vt="http://schemas.openxmlformats.org/officeDocument/2006/docPropsVTypes"/>
</file>