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APPENDICES: INDUSTRY AND COMPETITIVE POSITIONING</w:t>
      </w:r>
    </w:p>
    <w:p>
      <w:pPr>
        <w:keepNext/>
        <w:pBdr>
          <w:bottom w:val="single" w:color="14284B" w:sz="12" w:space="2"/>
        </w:pBdr>
        <w:spacing w:after="70" w:before="6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APPENDIX 3: NEW GLA SUPPLY, 2026-2028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trio will add 432,030 m² between 2026 and 2028, of which 334,030 m² are organic (6.4% of their current total GLA; in Chile, 219,900 m², equivalent to 5.1% of the industry's GLA in Chile and 6.7% of the trio's own GLA). Acquisitions (98,000 m², all by Parque Arauco) change owner but add no supply to the industry; the supply-versus-demand analysis for Chile (Figure 3) therefore uses organic GLA only.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16"/>
        <w:gridCol w:w="565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PIPELINE BY COMPANY (m²)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04800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GLA BY OPENING YEAR (m²)</w:t>
            </w:r>
          </w:p>
          <w:tbl>
            <w:tblPr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00"/>
              <w:gridCol w:w="640"/>
              <w:gridCol w:w="640"/>
              <w:gridCol w:w="640"/>
              <w:gridCol w:w="740"/>
              <w:gridCol w:w="700"/>
              <w:gridCol w:w="740"/>
              <w:gridCol w:w="600"/>
            </w:tblGrid>
            <w:tr>
              <w:trPr>
                <w:tblHeader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Company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2026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2027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2028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Organic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Acquis.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Total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Org./GLA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Mallplaza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8,900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72,950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88,350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170,200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170,200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Parque Arauco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87,000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46,000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42,330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77,330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98,000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175,330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Cenco Malls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34,000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52,500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86,500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86,500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Trío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95,900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152,950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183,180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334,030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98,000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432,030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6.4%</w:t>
                  </w:r>
                </w:p>
              </w:tc>
            </w:tr>
          </w:tbl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Org./GLA = organic GLA 2026-2028 over consolidated GLA at 2Q26. Mallplaza: 2028 includes 46,500 m² of “Other projects Chile”, dated 2028 by the 2025 Annual Report (p.45). Parque Arauco: 2026 = 2H26 (acquisitions). Cenco: deliveries given as a range are placed at the end of the range. In Chile, the trio's organic supply (219,900 m²) equals 5.1% of the estimated industry GLA (≈4.3 million m²: 3.29 million of the trio excluding offices ÷ 76%, its share of the main operators).</w:t>
            </w:r>
          </w:p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Source: Plaza S.A., 2Q26 Release (p.13) and 2025 Annual Report (p.45); Parque Arauco, 2Q26 Investor Presentation (slide 23); Cenco Malls, 2Q26 Corporate Presentation (slides 15-17). Dated projects only.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4284B" w:sz="12" w:space="2"/>
              </w:pBdr>
              <w:spacing w:after="70" w:before="160"/>
            </w:pPr>
            <w:r>
              <w:rPr>
                <w:rFonts w:ascii="Arial" w:cs="Arial" w:eastAsia="Arial" w:hAnsi="Arial"/>
                <w:b/>
                <w:bCs/>
                <w:color w:val="14284B"/>
                <w:sz w:val="24"/>
                <w:szCs w:val="24"/>
              </w:rPr>
              <w:t xml:space="preserve">APPENDIX 4: OCCUPANCY</w:t>
            </w:r>
          </w:p>
          <w:p>
            <w:pPr>
              <w:shd w:fill="EEF1F6" w:color="auto" w:val="clear"/>
              <w:spacing w:after="8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The consolidated occupancy of the three operators has stayed between 93% and 99% since 2Q22, even through the inflation and high-rate cycle. Each company defines occupancy differently, so trends are compared rather than levels.</w:t>
            </w:r>
          </w:p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CONSOLIDATED OCCUPANCY RATE, 2Q22-2Q26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Source: 2Q22-2Q26 earnings reports of the three companies. Mallplaza includes Open Plaza since 2Q25.</w:t>
            </w:r>
          </w:p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4284B" w:sz="12" w:space="2"/>
              </w:pBdr>
              <w:spacing w:after="70" w:before="160"/>
            </w:pPr>
            <w:r>
              <w:rPr>
                <w:rFonts w:ascii="Arial" w:cs="Arial" w:eastAsia="Arial" w:hAnsi="Arial"/>
                <w:b/>
                <w:bCs/>
                <w:color w:val="14284B"/>
                <w:sz w:val="24"/>
                <w:szCs w:val="24"/>
              </w:rPr>
              <w:t xml:space="preserve">APPENDIX 5: MARKET SHARE IN CHILE</w:t>
            </w:r>
          </w:p>
          <w:p>
            <w:pPr>
              <w:shd w:fill="EEF1F6" w:color="auto" w:val="clear"/>
              <w:spacing w:after="8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The trio's GLA in Chile grew 7.3% since 2Q22. Mallplaza gave up 1.2 pp of share because it grew only through expansions, while Parque Arauco added Kennedy Oriente (70,000 m²) by purchase.</w:t>
            </w:r>
          </w:p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SHARE WITHIN THE TRIO, 2Q22-2Q26 (% OF GLA)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Source: 2Q22-2Q26 earnings reports of the three companies; Team analysis.</w:t>
            </w:r>
          </w:p>
          <w:p/>
        </w:tc>
      </w:tr>
    </w:tbl>
    <w:p>
      <w:pPr>
        <w:keepNext/>
        <w:pageBreakBefore/>
        <w:pBdr>
          <w:bottom w:val="single" w:color="14284B" w:sz="12" w:space="2"/>
        </w:pBdr>
        <w:spacing w:after="70" w:before="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APPENDIX 6: PORTER'S FIVE FORCES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Attractive industry: with whole-number scores by country weighted by Mallplaza's GLA, the only intense force is rivalry (4), which plays out in experience and assets rather than price, since in 2Q26 same-store rents rose in Chile at all three operators (table B).</w:t>
      </w:r>
    </w:p>
    <w:p>
      <w:pPr>
        <w:pBdr>
          <w:bottom w:val="single" w:color="E9004B" w:sz="8" w:space="1"/>
        </w:pBdr>
        <w:spacing w:after="50" w:before="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SCORES BY COUNTRY AND MAIN EVIDENCE (1 = WEAK FORCE; 5 = INTENSE FORCE)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00"/>
        <w:gridCol w:w="560"/>
        <w:gridCol w:w="780"/>
        <w:gridCol w:w="560"/>
        <w:gridCol w:w="6666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Force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Chile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Peru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Colombia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Final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Main evidence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Rivalry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CR3 76% / 37% / 13%; reinvestment race in experience; asset purchases (Minka, Plaza Central; Quilín and Chicureo announced); supply catching up with consumption in 2027. Stable shares and margins of 71-90%. No price war: positive SSR/SAR in Chile (table B).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entrants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Capital intensive (USD 613 million for 170,200 m² at Mallplaza); incumbents' land banks; Peru and Colombia less concentrated; Colombia with most malls under horizontal ownership.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Tenant bargaining power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occupancy 96-99%; contracts averaging 5.0-8.7 years; top 5 = 18% of Mallplaza's revenue; Chile SSR above CPI (6.9% vs 4.8%, 1Q23-2Q26); department stores 19.0% of GLA.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Supplier bargaining power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 expenses passed through to tenants (2025 Annual Report, note 2.20); cost of sales 6.2% of Mallplaza's revenue.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Substitutes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93% of Mallplaza's rental income is fixed; 2Q26 visits +4.4% Chile, +1.3% Peru, +2.5% Colombia; shift to experience. No official e-commerce data by country.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Source: Team analysis. Final score = average weighted by Mallplaza's GLA at 2Q26 (Chile 61.9%, Peru 26.2%, Colombia 11.9%), rounded to the nearest integer. For new entrants the weighted score sits at the threshold (1.5) and the team sets it at 2 because of lower entry barriers in Peru and Colombia.</w:t>
      </w:r>
    </w:p>
    <w:p>
      <w:pPr>
        <w:pBdr>
          <w:bottom w:val="single" w:color="E9004B" w:sz="8" w:space="1"/>
        </w:pBdr>
        <w:spacing w:after="50" w:before="12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PRICE INDICATORS BY OPERATOR, 2Q26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800"/>
        <w:gridCol w:w="2300"/>
        <w:gridCol w:w="2300"/>
        <w:gridCol w:w="2366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Indicator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Mallplaza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Cenco Malls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Parque Arauco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Same-store or same-area rent (YoY change)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SSR +5.4%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SSR +0.8%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SAR +3.8%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+4.7%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+11.0%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SAR +3.0%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+7.5%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−9.9%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SAR +13.0%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Monthly revenue per m² (YoY change)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CLP 28,618 (+6.6%)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Not published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CLP 31,571 (+9.6%)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PEN 66 (+10.0%)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Not published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PEN 68 (−0.1%)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COP 84,790 (+8.0%)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Not published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COP 125,932 (+10.3%)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Occupancy cost (2Q25)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10.3% (10.2%)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9.1% (8.8%)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11.9% (11.1%)*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7.3% (7.4%)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8.8% (8.8%)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8.1% (8.4%)*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 (10.4%)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6.5% (7.5%)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11.7% (11.5%)*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Source: Plaza S.A., 2Q26 Release (p.18); Cenco Malls, 2Q26 Earnings Presentation (p.17); Parque Arauco, 2Q26 Earnings Report (p.5, p.6 and p.21). Each indicator follows each company's definition: Mallplaza's SSR considers fixed rent in Chile and the change in the UF; Cenco's includes variable rent (Cenco 1Q26: “SSR Chile reflects the effect of lower sales”); Parque Arauco's SAR measures rent collected in areas leased in both periods. *Includes common expenses and promotion fund: its level is not comparable, its change is. Mallplaza's revenue per m² change in Colombia (+8.0%) is a team calculation: 84,790 / 78,545 − 1. Everything else is published data.</w:t>
      </w:r>
    </w:p>
    <w:p>
      <w:pPr>
        <w:keepNext/>
        <w:pBdr>
          <w:bottom w:val="single" w:color="14284B" w:sz="12" w:space="2"/>
        </w:pBdr>
        <w:spacing w:after="70" w:before="20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APPENDIX 7: MAIN ASSUMPTIONS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Criteria used so that figures are comparable across operators and consistent with the official 2Q26 reports.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866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Topic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Market share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Measured by GLA (not by sales) over each country's main operators (slide 7, 2Q26 Institutional Presentation). Partial HHI: considers only the operators identified on slide 7, so it is a floor (the real HHI is equal or higher); classified with the 2023 DOJ/FTC Merger Guidelines thresholds (above 1,800 = highly concentrated). Colombia pro forma: includes Gran Plaza (announced acquisition of 179,667 m²; 2Q26 Release); without it, Mallplaza's share would be 4.3%.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Pipeline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Only dated projects in official reports at 2Q26 and the 2025 Annual Report; dates given as a range are placed at the end of the range; acquisitions are not new supply for the industry.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Supply vs demand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only and only m² that depend on consumption (excludes offices and multifamily); base GLA excludes Cenco's offices. Private consumption from the September 2026 IPoM is used as a demand indicator, not as a sales projection. Industry GLA in Chile ≈ trio GLA excluding offices ÷ 76% (the trio's share of the main operators, slide 7); the trio's supply is a lower bound of the industry's supply.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EBITDA per m²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per each company's definition (none includes the IAS 40 revaluation); 2Q26 EBITDA not annualized; GLA consolidated at 100% of controlled assets. Parque Arauco: multifamily NOI (CLP 503 million) is subtracted, since its size is reported in units and not in m²; effect −0.7%, does not change the ranking.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Contracts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Profile and duration weighted by GLA. Cenco states it explicitly; Parque Arauco presents its maturity profile as % of GLA but does not state the basis of its average duration; Mallplaza does not publish the basis. In both cases GLA is assumed.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Real sales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Tenant sales in Chile 2Q26 vs 2Q25 deflated with the 12-month CPI of June 2026 (4.3%; INE, release of 08-07-2026). Cenco 2Q25 calculated from its published change (−1.9%).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Real Plaza (Peru)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InRetail 2Q26 adjusted EBITDA, Shopping Malls segment (S/ 131 million; excludes investment property revaluation) ÷ total GLA of 888,000 m² (InRetail, 2Q26 Corporate Presentation, p.26 and p.29). Mallplaza Peru: published monthly EBITDA per m² (S/ 53) × 3 (2Q26 Release, p.18). Margins are not compared: InRetail calculates its own on net rent.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Dates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Company data as of 30-Jun-2026; macro projections from the September 2026 IPoM as the most recent available.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10a8de8705d486a1cc41f629d6e44a63c29c7d.png"/><Relationship Id="rId10" Type="http://schemas.openxmlformats.org/officeDocument/2006/relationships/image" Target="media/79483e499b773861f736c4797e4f6cc8c65b3a9f.png"/><Relationship Id="rId11" Type="http://schemas.openxmlformats.org/officeDocument/2006/relationships/image" Target="media/30db9ba6696526f51fce71150cb064598929c47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2026-10-17T22:57:58.804Z</dcterms:created>
  <dcterms:modified xsi:type="dcterms:W3CDTF">2026-10-17T22:57:58.804Z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