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INDUSTRIA Y POSICIONAMIENTO COMPETITIVO</w:t>
      </w:r>
    </w:p>
    <w:p>
      <w:pPr>
        <w:keepNext/>
        <w:pBdr>
          <w:bottom w:val="single" w:color="14284B" w:sz="12" w:space="2"/>
        </w:pBdr>
        <w:spacing w:after="70" w:before="6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ANEXO 3: OFERTA NUEVA DE GLA, 2026-2028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El trío agregará 432.030 m² entre 2026 y 2028, de los cuales 334.030 m² son orgánicos (6,4% de su GLA total actual; en Chile, 219.900 m², equivalentes al 5,1% del GLA de la industria en Chile y al 6,7% del GLA del propio trío). Las adquisiciones (98.000 m², todas de Parque Arauco) cambian de dueño pero no suman oferta a la industria; por eso el análisis de oferta vs demanda en Chile (Figura 3) usa solo el GLA orgánico.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16"/>
        <w:gridCol w:w="565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PIPELINE POR EMPRESA (m²)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04800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GLA POR AÑO DE APERTURA (m²)</w:t>
            </w:r>
          </w:p>
          <w:tbl>
            <w:tblPr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00"/>
              <w:gridCol w:w="640"/>
              <w:gridCol w:w="640"/>
              <w:gridCol w:w="640"/>
              <w:gridCol w:w="740"/>
              <w:gridCol w:w="700"/>
              <w:gridCol w:w="740"/>
              <w:gridCol w:w="600"/>
            </w:tblGrid>
            <w:tr>
              <w:trPr>
                <w:tblHeader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Empresa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2026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2027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2028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Orgánico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Adquis.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Total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Org./GLA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Mallplaza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8.900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72.950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88.350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170.200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170.200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Parque Arauco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87.000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46.000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42.330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77.330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98.000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175.330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Cenco Malls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34.000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52.500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86.500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86.500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Trío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95.900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152.950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183.180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334.030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98.000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432.030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6,4%</w:t>
                  </w:r>
                </w:p>
              </w:tc>
            </w:tr>
          </w:tbl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Org./GLA = GLA orgánico 2026-2028 sobre GLA consolidado al 2Q26. Mallplaza: el 2028 incluye 46.500 m² de "Otros proyectos Chile", fechados en 2028 por la Memoria 2025 (p.45). Parque Arauco: 2026 = 2S26 (adquisiciones). Cenco: entregas en rango ubicadas al final del rango. En Chile, la oferta orgánica del trío (219.900 m²) equivale al 5,1% del GLA estimado de la industria (≈4,3 millones de m²: 3,29 millones del trío sin oficinas ÷ 76%, su participación en los principales operadores).</w:t>
            </w:r>
          </w:p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Fuente: Plaza S.A., Release 2Q26 (p.13) y Memoria 2025 (p.45); Parque Arauco, Investor Presentation 2Q26 (slide 23); Cenco Malls, Corporate Presentation 2Q26 (slides 15-17). Solo proyectos con fecha.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14284B" w:sz="12" w:space="2"/>
              </w:pBdr>
              <w:spacing w:after="70" w:before="160"/>
            </w:pPr>
            <w:r>
              <w:rPr>
                <w:rFonts w:ascii="Arial" w:cs="Arial" w:eastAsia="Arial" w:hAnsi="Arial"/>
                <w:b/>
                <w:bCs/>
                <w:color w:val="14284B"/>
                <w:sz w:val="24"/>
                <w:szCs w:val="24"/>
              </w:rPr>
              <w:t xml:space="preserve">ANEXO 4: OCUPACIÓN</w:t>
            </w:r>
          </w:p>
          <w:p>
            <w:pPr>
              <w:shd w:fill="EEF1F6" w:color="auto" w:val="clear"/>
              <w:spacing w:after="8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ocupación consolidada de los tres operadores se ha mantenido entre 93% y 99% desde el 2T22, incluso durante el ciclo de inflación y tasas altas. Cada empresa define la ocupación de forma distinta, por lo que se comparan tendencias y no niveles.</w:t>
            </w:r>
          </w:p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TASA DE OCUPACIÓN CONSOLIDADA, 2T22-2T26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Fuente: reportes de resultados 2T22-2T26 de las tres empresas. Mallplaza incluye Open Plaza desde el 2T25.</w:t>
            </w:r>
          </w:p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14284B" w:sz="12" w:space="2"/>
              </w:pBdr>
              <w:spacing w:after="70" w:before="160"/>
            </w:pPr>
            <w:r>
              <w:rPr>
                <w:rFonts w:ascii="Arial" w:cs="Arial" w:eastAsia="Arial" w:hAnsi="Arial"/>
                <w:b/>
                <w:bCs/>
                <w:color w:val="14284B"/>
                <w:sz w:val="24"/>
                <w:szCs w:val="24"/>
              </w:rPr>
              <w:t xml:space="preserve">ANEXO 5: PARTICIPACIÓN EN CHILE</w:t>
            </w:r>
          </w:p>
          <w:p>
            <w:pPr>
              <w:shd w:fill="EEF1F6" w:color="auto" w:val="clear"/>
              <w:spacing w:after="8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GLA del trío en Chile creció 7,3% desde el 2T22. Mallplaza cedió 1,2 pp de participación porque creció solo con ampliaciones, mientras Parque Arauco sumó Kennedy Oriente (70.000 m²) por compra.</w:t>
            </w:r>
          </w:p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PARTICIPACIÓN DENTRO DEL TRÍO, 2T22-2T26 (% DEL GLA)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Fuente: reportes de resultados 2T22-2T26 de las tres empresas; análisis del equipo.</w:t>
            </w:r>
          </w:p>
          <w:p/>
        </w:tc>
      </w:tr>
    </w:tbl>
    <w:p>
      <w:pPr>
        <w:keepNext/>
        <w:pageBreakBefore/>
        <w:pBdr>
          <w:bottom w:val="single" w:color="14284B" w:sz="12" w:space="2"/>
        </w:pBdr>
        <w:spacing w:after="70" w:before="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ANEXO 6: CINCO FUERZAS DE PORTER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Industria atractiva: con notas enteras por país ponderadas por el GLA de Mallplaza, la única fuerza intensa es la rivalidad (4), que se da en experiencia y activos y no en precio, ya que en el 2T26 los arriendos en mismas tiendas subieron en Chile en los tres operadores (tabla B).</w:t>
      </w:r>
    </w:p>
    <w:p>
      <w:pPr>
        <w:pBdr>
          <w:bottom w:val="single" w:color="E9004B" w:sz="8" w:space="1"/>
        </w:pBdr>
        <w:spacing w:after="50" w:before="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NOTAS POR PAÍS Y EVIDENCIA PRINCIPAL (1 = FUERZA DÉBIL; 5 = FUERZA INTENSA)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00"/>
        <w:gridCol w:w="560"/>
        <w:gridCol w:w="780"/>
        <w:gridCol w:w="560"/>
        <w:gridCol w:w="6666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Fuerza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Chile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Perú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Colombia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Final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Evidencia principal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Rivalidad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CR3 76% / 37% / 13%; carrera de reinversión en experiencia; compra de activos (Minka, Plaza Central; anunciadas Quilín y Chicureo); oferta que alcanza al consumo en 2027. Participaciones estables y márgenes de 71-90%. Sin guerra de precios: SSR/SAR positivos en Chile (tabla B).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Nuevos entrantes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Capital intensivo (USD 613 MM por 170.200 m² en Mallplaza); bancos de terrenos de incumbentes; Perú y Colombia menos concentrados; Colombia con mayoría de malls en propiedad horizontal.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Poder de los locatarios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Ocupación Chile 96-99%; contratos de 5,0-8,7 años promedio; top 5 = 18% de ingresos de Mallplaza; SSR Chile sobre IPC (6,9% vs 4,8%, 1T23-2T26); tiendas por departamento 19,0% del GLA.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Poder de los proveedores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Gasto común traspasado al locatario (Memoria 2025, nota 2.20); costo de ventas 6,2% de ingresos de Mallplaza.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Sustitutos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93% del ingreso por arriendo de Mallplaza es fijo; visitas 2T26 +4,4% Chile, +1,3% Perú, +2,5% Colombia; giro a experiencia. Sin datos oficiales de e-commerce por país.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Fuente: análisis del equipo. Nota final = promedio ponderado por GLA de Mallplaza al 2Q26 (Chile 61,9%, Perú 26,2%, Colombia 11,9%), redondeado al entero. En nuevos entrantes el ponderado queda en el límite (1,5) y el equipo lo fija en 2 por las menores barreras de entrada en Perú y Colombia.</w:t>
      </w:r>
    </w:p>
    <w:p>
      <w:pPr>
        <w:pBdr>
          <w:bottom w:val="single" w:color="E9004B" w:sz="8" w:space="1"/>
        </w:pBdr>
        <w:spacing w:after="50" w:before="12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INDICADORES DE PRECIO POR OPERADOR, 2T26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800"/>
        <w:gridCol w:w="2300"/>
        <w:gridCol w:w="2300"/>
        <w:gridCol w:w="2366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Indicador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Mallplaza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Cenco Malls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Parque Arauco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Arriendo en mismas tiendas o áreas (var. a/a)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SSR +5,4%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SSR +0,8%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SAR +3,8%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+4,7%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+11,0%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SAR +3,0%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+7,5%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−9,9%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SAR +13,0%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 mensual por m² (var. a/a)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CLP 28.618 (+6,6%)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 publica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CLP 31.571 (+9,6%)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PEN 66 (+10,0%)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 publica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PEN 68 (−0,1%)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COP 84.790 (+8,0%)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 publica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COP 125.932 (+10,3%)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de ocupación (2T25)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10,3% (10,2%)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9,1% (8,8%)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11,9% (11,1%)*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7,3% (7,4%)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8,8% (8,8%)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8,1% (8,4%)*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 (10,4%)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6,5% (7,5%)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11,7% (11,5%)*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Fuente: Plaza S.A., Release 2Q26 (p.18); Cenco Malls, Presentación de Resultados 2T26 (p.17); Parque Arauco, Reporte de Resultados 2T26 (p.5, p.6 y p.21). Cada indicador según la definición de cada empresa: el SSR de Mallplaza considera arriendo fijo de Chile y la variación de la UF; el de Cenco incluye arriendo variable (Cenco 1T26: "SSR Chile acusa el efecto de menores ventas"); el SAR de Parque Arauco mide el arriendo recaudado en áreas arrendadas en ambos períodos. *Incluye gasto común y fondo de promoción: su nivel no es comparable, sí su variación. La variación del ingreso por m² de Mallplaza en Colombia (+8,0%) es cálculo del equipo: 84.790 / 78.545 − 1. Todo lo demás es dato publicado.</w:t>
      </w:r>
    </w:p>
    <w:p>
      <w:pPr>
        <w:keepNext/>
        <w:pBdr>
          <w:bottom w:val="single" w:color="14284B" w:sz="12" w:space="2"/>
        </w:pBdr>
        <w:spacing w:after="70" w:before="20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ANEXO 7: SUPUESTOS PRINCIPALES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Criterios usados para que las cifras sean comparables entre operadores y consistentes con los reportes oficiales al 2T26.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866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Tema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Market share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Medido por GLA (no por ventas) sobre los principales operadores de cada país (slide 7, Presentación Institucional 2Q26). HHI parcial: considera solo a los operadores identificados en la slide 7, por lo que es un piso (el HHI real es igual o mayor); se clasifica con los umbrales de las Merger Guidelines DOJ/FTC 2023 (sobre 1.800 = altamente concentrado). Colombia pro forma: incluye Gran Plaza (adquisición anunciada de 179.667 m²; Release 2Q26); sin ella, la participación de Mallplaza sería 4,3%.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Pipeline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Solo proyectos con fecha en reportes oficiales al 2Q26 y Memoria 2025; fechas en rango al final del rango; las adquisiciones no son oferta nueva para la industria.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Oferta vs demanda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Solo Chile y solo m² que dependen del consumo (excluye oficinas y multifamily); GLA base sin las oficinas de Cenco. El consumo privado del IPoM sep-2026 se usa como indicador de demanda, no como proyección de ventas. GLA de la industria en Chile ≈ GLA del trío sin oficinas ÷ 76% (participación del trío en los principales operadores, slide 7); la oferta del trío es una cota inferior de la oferta de la industria.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EBITDA por m²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según la definición de cada empresa (ninguna incluye la revalorización bajo NIC 40); EBITDA del 2T26 sin anualizar; GLA consolidado al 100% de los activos controlados. Parque Arauco: se resta el NOI multifamily (503 MM CLP), cuyo tamaño se reporta en unidades y no en m²; efecto −0,7%, no cambia el orden.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Contratos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Perfil y duración ponderados por GLA. Cenco lo indica explícitamente; Parque Arauco presenta su perfil de vencimientos en % del GLA, pero no indica la base de su duración promedio; Mallplaza no publica la base. En ambos casos se asume GLA.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Ventas reales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Ventas de locatarios en Chile 2T26 vs 2T25 deflactadas con el IPC a 12 meses de junio 2026 (4,3%; INE, comunicado del 08-07-2026). Cenco 2T25 calculado desde su variación publicada (−1,9%).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Real Plaza (Perú)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ajustado del 2T26 de InRetail, segmento Shopping Malls (S/ 131 MM; excluye revaluación de propiedades de inversión) ÷ GLA total de 888.000 m² (InRetail, Corporate Presentation 2Q26, p.26 y p.29). Mallplaza Perú: EBITDA mensual por m² publicado (S/ 53) × 3 (Release 2Q26, p.18). No se comparan márgenes: InRetail calcula el suyo sobre renta neta.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Fechas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Datos de empresas al 30-jun-2026; proyecciones macro del IPoM de septiembre 2026 por ser las vigentes más recientes.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38682b6a2423995622f6a04ae6a9ebde6b1b73c.png"/><Relationship Id="rId10" Type="http://schemas.openxmlformats.org/officeDocument/2006/relationships/image" Target="media/68d45e370e4ab8a3c4bafdcf440cb34d293a9255.png"/><Relationship Id="rId11" Type="http://schemas.openxmlformats.org/officeDocument/2006/relationships/image" Target="media/ff2104c08e4ce6fa65fd948e42737135974bf6c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2026-10-17T22:57:58.545Z</dcterms:created>
  <dcterms:modified xsi:type="dcterms:W3CDTF">2026-10-17T22:57:58.545Z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