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INDUSTRY OVERVIEW AND COMPETITIVE POSITIONING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AN INDUSTRY THAT IS CONCENTRATED IN CHILE AND FRAGMENTED IN PERU AND COLOMBIA</w:t>
            </w:r>
          </w:p>
          <w:p>
            <w:pPr>
              <w:spacing w:after="60" w:before="0" w:line="228" w:lineRule="auto"/>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and on that basis Mallplaza, Cenco Malls and Parque Arauco together manage 3.4 million m² in Chile alone.</w:t>
            </w:r>
          </w:p>
          <w:p>
            <w:pPr>
              <w:spacing w:after="60" w:before="0" w:line="228" w:lineRule="auto"/>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index reaches at least 2,126 points, typical of a highly concentrated market, with Mallplaza as leader (33%) followed by Cenco (29%) and Parque Arauco (14%). In Peru and Colombia, by contrast, the trio accounts for only 37% and 13% of GLA, respectively, leadership is held by an outside operator with 29% and 9%, respectively, and Mallplaza ranks second in both markets. In Peru that leader is Real Plaza (InRetail), with 888,000 m² and 95.5% occupancy, versus Mallplaza's 618,093 m² and 93.8%; even so, Mallplaza generates more EBITDA per m² (S/ 159 versus S/ 148 in 2Q26). Fragmentation is greatest in Colombia, where most shopping centers are strata-titled (multi-owner), which forces professional operators to grow by acquiring single-owner assets, as Mallplaza will do with Gran Plaza (179,667 m², announced acquisition).</w:t>
            </w:r>
          </w:p>
          <w:p>
            <w:pPr>
              <w:pBdr>
                <w:bottom w:val="single" w:color="E9004B" w:sz="8" w:space="1"/>
              </w:pBdr>
              <w:spacing w:after="50" w:before="90"/>
            </w:pPr>
            <w:r>
              <w:rPr>
                <w:rFonts w:ascii="Arial" w:cs="Arial" w:eastAsia="Arial" w:hAnsi="Arial"/>
                <w:b/>
                <w:bCs/>
                <w:color w:val="14284B"/>
                <w:sz w:val="16"/>
                <w:szCs w:val="16"/>
              </w:rPr>
              <w:t xml:space="preserve">NEW SUPPLY IN CHILE GROWS BELOW CONSUMPTION, WITH PRESSURE CONCENTRATED IN 2027</w:t>
            </w:r>
          </w:p>
          <w:p>
            <w:pPr>
              <w:spacing w:after="60" w:before="0" w:line="228" w:lineRule="auto"/>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5.1% of the industry's GLA in Chile. We estimate that GLA (≈4.3 million m²) by dividing the trio's GLA excluding offices (3.29 million m²) by its 76% share of the main operators' GLA (assumptions in Appendix 7); measuring supply against the trio's own GLA (6.7%) would overstate the pressure, because it leaves out the other operators. The figure excludes offices and multifamily, which do not depend on consumption, as well as acquisitions, which merely change ownership (detail in Appendix 3). Over the same period, the Central Bank of Chile projects cumulative private consumption growth of 6.4% (Figure 3), so new supply is advancing below expected demand. The timing, however, is uneven: 2026 adds almost no space (+0.2%), and pressure is concentrated in 2027, when supply (+2.2%) barely exceeds consumption (+2.1%); in 2028 it falls below it again (+2.6% versus +2.7%). We only measure the trio's supply, whose pipeline is public: if other operators open additional m², the pressure would be greater.</w:t>
            </w:r>
          </w:p>
          <w:p>
            <w:pPr>
              <w:spacing w:after="60" w:before="0" w:line="228" w:lineRule="auto"/>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(−5.9%). Even so, tenants continue to demand space, and consolidated occupancy at the three companies has ranged between 93% and 99% since 2Q22, even through the cycle of high inflation and interest rates (Appendix 4). Outside Chile, the balance is more comfortable: dated new supply is limited to Mallplaza expansions in Peru (55,800 m²), is practically nil in Colombia, and coexists with Mallplaza same-store sales (SSS) that grew 7.0% in Peru and 9.0% in Colombia in local currency.</w:t>
            </w:r>
          </w:p>
          <w:p>
            <w:pPr>
              <w:pBdr>
                <w:bottom w:val="single" w:color="E9004B" w:sz="8" w:space="1"/>
              </w:pBdr>
              <w:spacing w:after="50" w:before="90"/>
            </w:pPr>
            <w:r>
              <w:rPr>
                <w:rFonts w:ascii="Arial" w:cs="Arial" w:eastAsia="Arial" w:hAnsi="Arial"/>
                <w:b/>
                <w:bCs/>
                <w:color w:val="14284B"/>
                <w:sz w:val="16"/>
                <w:szCs w:val="16"/>
              </w:rPr>
              <w:t xml:space="preserve">AN ATTRACTIVE INDUSTRY WHOSE ONLY INTENSE FORCE IS RIVALRY</w:t>
            </w:r>
          </w:p>
          <w:p>
            <w:pPr>
              <w:spacing w:after="60" w:before="0" w:line="228" w:lineRule="auto"/>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6). The result describes an attractive industry, consistent with EBITDA margins ranging from 71% to 90% across the three operators, in which the only intense force is rivalry.</w:t>
            </w:r>
          </w:p>
          <w:p>
            <w:pPr>
              <w:spacing w:after="60" w:before="0" w:line="228" w:lineRule="auto"/>
              <w:jc w:val="both"/>
            </w:pPr>
            <w:r>
              <w:rPr>
                <w:rFonts w:ascii="Arial" w:cs="Arial" w:eastAsia="Arial" w:hAnsi="Arial"/>
                <w:i w:val="false"/>
                <w:iCs w:val="false"/>
                <w:color w:val="1A1A1A"/>
                <w:sz w:val="16"/>
                <w:szCs w:val="16"/>
              </w:rPr>
              <w:t xml:space="preserve">Rivalry (4) is played out not on price but on experience and assets. There are no signs of a price war: in 2Q26 all three operators raised same-store rents in Chile (Mallplaza +5.4%, Parque Arauco +3.8% and Cenco +0.8%, the latter hit by lower sales-linked variable rent), with 96-99% occupancy that leaves no vacant space to fill with discounts (Appendix 6, table 6.2). Mallplaza devotes more than half of its GLA to non-traditional, experience and entertainment formats, Cenco opened QINTO with 30,000 m² of food and dining at Costanera, and Parque Arauco is adding dining floors at Kennedy, while competition to acquire assets is intensifying, with Minka and Plaza Central changing hands in the past year and Parque Arauco announcing the purchase of Quilín and Chicureo. We do not assign the maximum score because the trio's shares in Chile have remained stable since 2Q22 (Appendix 5) and margins show no erosion.</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r>
              <w:br/>
            </w:r>
            <w:r>
              <w:drawing>
                <wp:inline distT="0" distB="0" distL="0" distR="0">
                  <wp:extent cx="2257425"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38112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p>
            <w:pPr>
              <w:keepLines/>
              <w:spacing w:after="20" w:before="90" w:line="240"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r>
              <w:br/>
            </w: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42875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tc>
      </w:tr>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occupancy in Chile reaches 96-99%,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p>
            <w:pPr>
              <w:pBdr>
                <w:bottom w:val="single" w:color="E9004B" w:sz="8" w:space="1"/>
              </w:pBdr>
              <w:spacing w:after="50" w:before="90"/>
            </w:pPr>
            <w:r>
              <w:rPr>
                <w:rFonts w:ascii="Arial" w:cs="Arial" w:eastAsia="Arial" w:hAnsi="Arial"/>
                <w:b/>
                <w:bCs/>
                <w:color w:val="14284B"/>
                <w:sz w:val="16"/>
                <w:szCs w:val="16"/>
              </w:rPr>
              <w:t xml:space="preserve">MALLPLAZA TURNS ITS SCALE INTO THE MOST PRODUCTIVE M² OF THE TRIO</w:t>
            </w:r>
          </w:p>
          <w:p>
            <w:pPr>
              <w:spacing w:after="60" w:before="0" w:line="228" w:lineRule="auto"/>
              <w:jc w:val="both"/>
            </w:pPr>
            <w:r>
              <w:rPr>
                <w:rFonts w:ascii="Arial" w:cs="Arial" w:eastAsia="Arial" w:hAnsi="Arial"/>
                <w:i w:val="false"/>
                <w:iCs w:val="false"/>
                <w:color w:val="1A1A1A"/>
                <w:sz w:val="16"/>
                <w:szCs w:val="16"/>
              </w:rPr>
              <w:t xml:space="preserve">Mallplaza turns its scale into the highest EBITDA per m² of the trio, at CLP 59,451 in 2Q26 versus 58,384 at Cenco and 55,363 at Parque Arauco (Figure 5). That advantage stems from high-traffic urban locations, which in Chile received 52.7 million visits in the quarter versus 32.5 million at Cenco, and from monthly sales per m² of CLP 289,788 in Chile, 5.8% higher than a year earlier. The gap with Cenco is narrow and is partly explained by Cenco having added Plaza Central in June, with just one month of EBITDA in the quarter.</w:t>
            </w:r>
          </w:p>
          <w:p>
            <w:pPr>
              <w:spacing w:after="60" w:before="0" w:line="228" w:lineRule="auto"/>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pBdr>
                <w:bottom w:val="single" w:color="E9004B" w:sz="8" w:space="1"/>
              </w:pBdr>
              <w:spacing w:after="50" w:before="90"/>
            </w:pPr>
            <w:r>
              <w:rPr>
                <w:rFonts w:ascii="Arial" w:cs="Arial" w:eastAsia="Arial" w:hAnsi="Arial"/>
                <w:b/>
                <w:bCs/>
                <w:color w:val="14284B"/>
                <w:sz w:val="16"/>
                <w:szCs w:val="16"/>
              </w:rPr>
              <w:t xml:space="preserve">LONG LEASES TO DEFEND ITS POSITION</w:t>
            </w:r>
          </w:p>
          <w:p>
            <w:pPr>
              <w:spacing w:after="60" w:before="0" w:line="228" w:lineRule="auto"/>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(8.7 years) and Parque Arauco (5.0 years) with a useful balance: it secures enough revenue to weather the supply pressure of 2027-2028 while leaving 15.1% of GLA expiring within two years to reset rents if demand allows.</w:t>
            </w:r>
          </w:p>
          <w:p>
            <w:pPr>
              <w:spacing w:after="60" w:before="0" w:line="228" w:lineRule="auto"/>
              <w:jc w:val="both"/>
            </w:pPr>
            <w:r>
              <w:rPr>
                <w:rFonts w:ascii="Arial" w:cs="Arial" w:eastAsia="Arial" w:hAnsi="Arial"/>
                <w:i w:val="false"/>
                <w:iCs w:val="false"/>
                <w:color w:val="1A1A1A"/>
                <w:sz w:val="16"/>
                <w:szCs w:val="16"/>
              </w:rPr>
              <w:t xml:space="preserve">In an attractive industry, but one with high rivalry and supply that will catch up with consumption in 2027, the operators with the most productive assets and the most stable leases will gain share and profitability. Mallplaza leads in scale in Chile and in productivity per m², and is the only one of the trio with growing real sales, which leaves it well positioned to defend its profitability. Its main risk is its exposure to Chile, which accounts for 62% of its GLA and where consumption currently looks weaker.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Lines/>
              <w:spacing w:after="20" w:before="20" w:line="240"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r>
              <w:br/>
            </w:r>
            <w:r>
              <w:drawing>
                <wp:inline distT="0" distB="0" distL="0" distR="0">
                  <wp:extent cx="22574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7049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6). 1 = weak force; 5 = intense force.</w:t>
            </w:r>
          </w:p>
          <w:p>
            <w:pPr>
              <w:keepLines/>
              <w:spacing w:after="20" w:before="90" w:line="240"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r>
              <w:br/>
            </w: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0572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p>
            <w:pPr>
              <w:keepLines/>
              <w:spacing w:after="20" w:before="90" w:line="240"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r>
              <w:br/>
            </w: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10fa78821f96152db623858c06a06b731a4784.png"/><Relationship Id="rId10" Type="http://schemas.openxmlformats.org/officeDocument/2006/relationships/image" Target="media/05fc2c66e950b613c659567ff4a4c0662bb88532.png"/><Relationship Id="rId11" Type="http://schemas.openxmlformats.org/officeDocument/2006/relationships/image" Target="media/930b12feb78c2a7223e3994135daa5f82e020ffe.png"/><Relationship Id="rId12" Type="http://schemas.openxmlformats.org/officeDocument/2006/relationships/image" Target="media/128b7011b39de3be2a4085c1006f4097d392044c.png"/><Relationship Id="rId13" Type="http://schemas.openxmlformats.org/officeDocument/2006/relationships/image" Target="media/97008b1080de62d6fb081f52664a91d418d7934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2026-10-17T22:57:58.719Z</dcterms:created>
  <dcterms:modified xsi:type="dcterms:W3CDTF">2026-10-17T22:57:58.719Z</dcterms:modified>
</cp:coreProperties>
</file>

<file path=docProps/custom.xml><?xml version="1.0" encoding="utf-8"?>
<Properties xmlns="http://schemas.openxmlformats.org/officeDocument/2006/custom-properties" xmlns:vt="http://schemas.openxmlformats.org/officeDocument/2006/docPropsVTypes"/>
</file>