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ANÁLISIS DE LA INDUSTRIA Y POSICIONAMIENTO COMPETITIVO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UNA INDUSTRIA CONCENTRADA EN CHILE Y FRAGMENTADA EN PERÚ Y COLOMBIA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En el retail real estate, los operadores de centros comerciales no venden productos, sino que arriendan metros cuadrados de superficie arrendable (GLA) a sus locatarios a cambio de un ingreso mayoritariamente fijo e indexado a la inflación de cada país. En Mallplaza, por ejemplo, el 93% del ingreso por arriendo es fijo. Por eso medimos la participación de mercado por GLA y no por ventas, y bajo esa óptica Mallplaza, Cenco Malls y Parque Arauco administran en conjunto 3,4 millones de m² solo en Chile.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La estructura del mercado, sin embargo, cambia de un país a otro (Figura 2). En Chile el trío concentra el 76% del GLA de los principales operadores (CR3) y el índice de concentración HHI parcial alcanza al menos 2.126 puntos, propio de un mercado altamente concentrado, con Mallplaza como líder (33%) seguido de Cenco (29%) y Parque Arauco (14%). En Perú y Colombia, en cambio, el trío reúne apenas el 37% y el 13% del GLA, el liderazgo lo ejerce un operador externo con 29% y 9%, respectivamente, y Mallplaza ocupa el segundo lugar en ambos mercados. En Perú ese líder es Real Plaza (InRetail), con 888.000 m² y una ocupación de 95,5%, frente a 618.093 m² y 93,8% de Mallplaza; aun así, Mallplaza genera más EBITDA por m² (S/ 159 frente a S/ 148 en el 2T26). La fragmentación es mayor en Colombia, donde la mayoría de los centros comerciales es de propiedad horizontal, lo que obliga a los operadores profesionales a crecer comprando activos de dueño único, como hará Mallplaza con Gran Plaza (179.667 m², adquisición anunciada).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OFERTA NUEVA EN CHILE CRECE POR DEBAJO DEL CONSUMO, CON PRESIÓN CONCENTRADA EN 2027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Entre 2026 y 2028 el trío agregará en Chile 219.900 m² orgánicos que competirán por el gasto de los consumidores, equivalentes al 5,1% del GLA de la industria en Chile. Ese GLA (≈4,3 millones de m²) lo estimamos dividiendo el GLA del trío sin oficinas (3,29 millones de m²) por su participación de 76% en el GLA de los principales operadores (supuestos en el Anexo 7); medir la oferta sobre el GLA del propio trío (6,7%) sobrestimaría la presión, porque excluye a los demás operadores. La cifra excluye las oficinas y el multifamily, que no dependen del consumo, y las adquisiciones, que solo cambian de dueño (detalle en el Anexo 3). En el mismo período el Banco Central proyecta un crecimiento acumulado de 6,4% del consumo privado (Figura 3), de modo que la oferta nueva avanza por debajo de la demanda esperada. El calendario, eso sí, no es parejo: 2026 casi no suma metros (+0,2%) y la presión se concentra en 2027, cuando la oferta (+2,2%) apenas supera al consumo (+2,1%); en 2028 vuelve a quedar bajo él (+2,6% frente a +2,7%). Solo medimos la oferta del trío, cuyo pipeline es público: si los demás operadores abren m² adicionales, la presión sería mayor.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El punto de partida es exigente, porque en el 2T26 las ventas reales de los locatarios del trío en Chile cayeron 2,5% a/a. Mallplaza fue la única que creció en términos reales (+1,0%), frente a las caídas de Parque Arauco (−1,7%) y Cenco (−5,9%). Aun así, los locatarios siguen demandando espacio, y la ocupación consolidada de las tres empresas se ha movido entre 93% y 99% desde el 2T22, incluso durante el ciclo de inflación y tasas altas (Anexo 4). Fuera de Chile el balance es más holgado, ya que la oferta nueva con fecha se limita a ampliaciones de Mallplaza en Perú (55.800 m²), es prácticamente nula en Colombia y convive con ventas en mismas tiendas (SSS) de Mallplaza que crecieron 7,0% en Perú y 9,0% en Colombia en moneda local.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UNA INDUSTRIA ATRACTIVA, CUYA ÚNICA FUERZA INTENSA ES LA RIVALIDAD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Para evaluar el atractivo de la industria analizamos las cinco fuerzas de Porter en cada país, en una escala de 1 (débil) a 5 (intensa), y las ponderamos por el GLA de Mallplaza en Chile (62%), Perú (26%) y Colombia (12%) (Figura 4; evidencia en Anexo 6). El resultado describe una industria atractiva, coherente con márgenes EBITDA que van de 71% a 90% en los tres operadores, y en la que la única fuerza intensa es la rivalidad.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4284B"/>
                <w:sz w:val="16"/>
                <w:szCs w:val="16"/>
              </w:rPr>
              <w:t xml:space="preserve">rivalidad (4)</w:t>
            </w: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 no se juega en precio, sino en experiencia y en activos. No hay señales de guerra de precios, ya que en el 2T26 los tres operadores subieron sus arriendos en mismas tiendas en Chile (Mallplaza +5,4%, Parque Arauco +3,8% y Cenco +0,8%, este último afectado por un menor arriendo variable ligado a las ventas), con una ocupación de 96-99% que no deja espacio vacío que llenar con descuentos (Anexo 6, tabla 6.2). Mallplaza destina más de la mitad de su GLA a formatos no tradicionales, experiencia y entretención, Cenco abrió QINTO con 30.000 m² de gastronomía en Costanera y Parque Arauco suma pisos gastronómicos en Kennedy, mientras la competencia por comprar activos se intensifica, con Minka y Plaza Central cambiando de dueño en el último año y Parque Arauco anunciando la compra de Quilín y Chicureo. No le asignamos la nota máxima porque las participaciones del trío en Chile se mantienen estables desde el 2T22 (Anexo 5) y los márgenes no muestran erosión.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20" w:before="20" w:line="240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Participación de mercado por GLA y concentración, 2Q26</w:t>
            </w:r>
            <w:r>
              <w:br/>
            </w:r>
            <w:r>
              <w:drawing>
                <wp:inline distT="0" distB="0" distL="0" distR="0">
                  <wp:extent cx="2257425" cy="1381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Presentación Institucional 2Q26 (slide 7); análisis del equipo. Colombia pro forma, incluye Gran Plaza.</w:t>
            </w:r>
          </w:p>
          <w:p>
            <w:pPr>
              <w:keepLines/>
              <w:spacing w:after="20" w:before="90" w:line="240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Oferta nueva de GLA en Chile vs consumo privado esperado, 2026-2028</w:t>
            </w:r>
            <w:r>
              <w:br/>
            </w:r>
            <w:r>
              <w:drawing>
                <wp:inline distT="0" distB="0" distL="0" distR="0">
                  <wp:extent cx="2257425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reportes 2Q26 de Plaza S.A., Parque Arauco y Cenco Malls; Banco Central de Chile, IPoM sep-2026 (Tabla II.1); análisis del equipo. Solo GLA orgánico que depende del consumo.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La amenaza de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4284B"/>
                <w:sz w:val="16"/>
                <w:szCs w:val="16"/>
              </w:rPr>
              <w:t xml:space="preserve">nuevos entrantes (2)</w:t>
            </w: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 es acotada, porque desarrollar un centro comercial exige mucho capital (la cartera de ampliaciones de Mallplaza suma USD 613 MM por 170.200 m²) y buena parte del escaso suelo urbano ya está en manos de los incumbentes, con bancos de terrenos de 618.200 m² en Mallplaza y 640.136 m² en Cenco, aunque la barrera es menor en Perú y sobre todo en Colombia. El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4284B"/>
                <w:sz w:val="16"/>
                <w:szCs w:val="16"/>
              </w:rPr>
              <w:t xml:space="preserve">poder de los locatarios (1)</w:t>
            </w: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 es débil, dado que la ocupación en Chile llega a 96-99%, los contratos son largos (Figura 6) y los arrendatarios están atomizados, al punto que los cinco mayores explican solo el 18% de los ingresos de Mallplaza. Prueba de ello es que Mallplaza ha subido sus arriendos en Chile por sobre la inflación durante más de tres años (6,9% frente a 4,8% en promedio entre 1T23 y 2T26) sin que el costo de ocupación de sus locatarios se dispare. La excepción son las tiendas por departamento, que como anclas negocian mejores condiciones, aunque su peso ya bajó a 19,0% del GLA. Los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4284B"/>
                <w:sz w:val="16"/>
                <w:szCs w:val="16"/>
              </w:rPr>
              <w:t xml:space="preserve">proveedores (1)</w:t>
            </w: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 casi no pesan, porque el gasto común se traspasa a los locatarios y el costo de ventas equivale a solo 6,2% de los ingresos de Mallplaza. Por último, los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4284B"/>
                <w:sz w:val="16"/>
                <w:szCs w:val="16"/>
              </w:rPr>
              <w:t xml:space="preserve">sustitutos (2)</w:t>
            </w: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 son una amenaza baja, ya que el e-commerce le resta ventas a los locatarios, pero el arriendo fijo protege al operador y las visitas siguen creciendo, como muestra el alza de 4,4% en Mallplaza Chile durante el 2T26.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 CONVIERTE SU ESCALA EN EL M² MÁS PRODUCTIVO DEL TRÍO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Mallplaza convierte su escala en el EBITDA por m² más alto del trío, con 59.451 CLP en el 2T26 frente a 58.384 de Cenco y 55.363 de Parque Arauco (Figura 5). Esa ventaja nace de ubicaciones urbanas de alto tráfico, que en Chile recibieron 52,7 millones de visitas en el trimestre frente a 32,5 millones en Cenco, y de una venta mensual por m² de 289.788 CLP en Chile, 5,8% superior a la de un año antes. La brecha con Cenco es estrecha y en parte se explica porque Cenco incorporó Plaza Central en junio, con apenas un mes de EBITDA en el trimestre.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En participación, Mallplaza cedió 1,2 pp dentro del trío en Chile desde el 2T22, principalmente porque Parque Arauco sumó por compra Kennedy Oriente (70.000 m²) mientras Mallplaza crecía solo con ampliaciones, una estrategia orgánica que su cartera de 114.400 m² en Chile al 2028 permite sostener.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CONTRATOS LARGOS PARA DEFENDER SU POSICIÓN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Esa posición está respaldada por contratos de larga duración. El plazo promedio remanente de los contratos de Mallplaza es de 7,1 años y el 57% de su GLA vence en más de cinco años (Figura 6), lo que la ubica entre Cenco (8,7 años) y Parque Arauco (5,0 años) con un equilibrio útil, porque asegura ingresos suficientes para atravesar la presión de oferta de 2027-2028 y, al mismo tiempo, deja un 15,1% del GLA con vencimiento antes de dos años para reajustar arriendos si la demanda acompaña.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En una industria atractiva, pero con rivalidad alta y una oferta que alcanzará al consumo en 2027, ganarán participación y rentabilidad los operadores con los activos más productivos y los contratos más estables. Mallplaza lidera en escala en Chile y en productividad por m², y es el único del trío con ventas reales crecientes, lo que lo deja bien posicionado para defender su rentabilidad. Su principal riesgo es la exposición a Chile, que concentra el 62% de su GLA y donde hoy el consumo se muestra más débil.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20" w:before="20" w:line="240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Cinco fuerzas de Porter, escala 1-5</w:t>
            </w:r>
            <w:r>
              <w:br/>
            </w:r>
            <w:r>
              <w:drawing>
                <wp:inline distT="0" distB="0" distL="0" distR="0">
                  <wp:extent cx="2257425" cy="1704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0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análisis del equipo con datos de reportes 2Q26 (Anexo 6). 1 = fuerza débil; 5 = fuerza intensa.</w:t>
            </w:r>
          </w:p>
          <w:p>
            <w:pPr>
              <w:keepLines/>
              <w:spacing w:after="20" w:before="90" w:line="240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EBITDA por m² de GLA, 2T26 trimestral (CLP)</w:t>
            </w:r>
            <w:r>
              <w:br/>
            </w:r>
            <w:r>
              <w:drawing>
                <wp:inline distT="0" distB="0" distL="0" distR="0">
                  <wp:extent cx="2257425" cy="1057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 Release 2Q26; Cenco Malls Presentación de Resultados 2T26; Parque Arauco Reporte 2T26; análisis del equipo. EBITDA del 2T26 / GLA consolidado al 30-jun-2026.</w:t>
            </w:r>
          </w:p>
          <w:p>
            <w:pPr>
              <w:keepLines/>
              <w:spacing w:after="20" w:before="90" w:line="240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Perfil de vencimiento de contratos (% del GLA) y duración promedio remanente, 2Q26</w:t>
            </w:r>
            <w:r>
              <w:br/>
            </w:r>
            <w:r>
              <w:drawing>
                <wp:inline distT="0" distB="0" distL="0" distR="0">
                  <wp:extent cx="2257425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 Release 2Q26 (p.7); Cenco Malls Presentación de Resultados 2T26 (p.14); Parque Arauco Reporte 2T26 (p.7) e Investor Presentation 2Q26 (slide 17). Ponderado por GLA; para Mallplaza es supuesto.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280e67819cba6f6f7e10fe890394220adf824c.png"/><Relationship Id="rId10" Type="http://schemas.openxmlformats.org/officeDocument/2006/relationships/image" Target="media/051973a2c083b267ccba38c8ffcfdf13d77ac568.png"/><Relationship Id="rId11" Type="http://schemas.openxmlformats.org/officeDocument/2006/relationships/image" Target="media/f15c089be8e0d753539f6f9eeefa3fe9c0bc4f68.png"/><Relationship Id="rId12" Type="http://schemas.openxmlformats.org/officeDocument/2006/relationships/image" Target="media/a4e812a20b8d0a04c6f433e62e26cb83cb448be1.png"/><Relationship Id="rId13" Type="http://schemas.openxmlformats.org/officeDocument/2006/relationships/image" Target="media/0cebf95ed6b1035d4fc1453eaa063682bfc6d83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2026-10-17T22:57:58.386Z</dcterms:created>
  <dcterms:modified xsi:type="dcterms:W3CDTF">2026-10-17T22:57:58.386Z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