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28"/>
          <w:szCs w:val="28"/>
        </w:rPr>
        <w:t xml:space="preserve">ANEXO [X]: ENTORNO MACROECONÓMICO Y GEOPOLÍTICO</w:t>
      </w:r>
    </w:p>
    <w:p>
      <w:pPr>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 Las figuras cubren la transmisión del shock (Figura A1), el petróleo (Figura A2), las tasas soberanas (Figura A3), los spreads (Figura A4), el crecimiento e inflación mundial (Figura A5) y Chile (Figura A6).</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promedio sep-26</w:t>
            </w:r>
          </w:p>
          <w:p>
            <w:pPr>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UST 10Y, 8-oct-26</w:t>
            </w:r>
          </w:p>
          <w:p>
            <w:pPr>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pb</w:t>
            </w:r>
          </w:p>
          <w:p>
            <w:pPr>
              <w:spacing w:after="10" w:line="216" w:lineRule="auto"/>
            </w:pPr>
            <w:r>
              <w:rPr>
                <w:rFonts w:ascii="Arial" w:cs="Arial" w:eastAsia="Arial" w:hAnsi="Arial"/>
                <w:b/>
                <w:bCs/>
                <w:color w:val="14284B"/>
                <w:sz w:val="13"/>
                <w:szCs w:val="13"/>
              </w:rPr>
              <w:t xml:space="preserve">Spread Francia–Alemania</w:t>
            </w:r>
          </w:p>
          <w:p>
            <w:pPr>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FMI 2026: PIB | inflación</w:t>
            </w:r>
          </w:p>
          <w:p>
            <w:pPr>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PIB Chile 2026 (BCCh)</w:t>
            </w:r>
          </w:p>
          <w:p>
            <w:pPr>
              <w:spacing w:after="0" w:line="216" w:lineRule="auto"/>
            </w:pPr>
            <w:r>
              <w:rPr>
                <w:rFonts w:ascii="Arial" w:cs="Arial" w:eastAsia="Arial" w:hAnsi="Arial"/>
                <w:color w:val="5F5F5F"/>
                <w:sz w:val="12"/>
                <w:szCs w:val="12"/>
              </w:rPr>
              <w:t xml:space="preserve">desde 2–3% proyectado en dic-25</w:t>
            </w:r>
          </w:p>
        </w:tc>
      </w:tr>
    </w:tbl>
    <w:p>
      <w:pPr>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spacing w:after="30" w:before="40" w:line="228" w:lineRule="auto"/>
      </w:pPr>
      <w:r>
        <w:rPr>
          <w:rFonts w:ascii="Arial" w:cs="Arial" w:eastAsia="Arial" w:hAnsi="Arial"/>
          <w:b/>
          <w:bCs/>
          <w:color w:val="14284B"/>
          <w:sz w:val="14"/>
          <w:szCs w:val="14"/>
        </w:rPr>
        <w:t xml:space="preserve">Figura A1: </w:t>
      </w:r>
      <w:r>
        <w:rPr>
          <w:rFonts w:ascii="Arial" w:cs="Arial" w:eastAsia="Arial" w:hAnsi="Arial"/>
          <w:color w:val="14284B"/>
          <w:sz w:val="14"/>
          <w:szCs w:val="14"/>
        </w:rPr>
        <w:t xml:space="preserve">Mapa de transmisión: de los shocks globales a los riesgos de Mallplaza</w:t>
      </w:r>
    </w:p>
    <w:p>
      <w:pPr>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 cifras de las Figuras 24–26 del informe (Investment Risks).</w:t>
      </w:r>
    </w:p>
    <w:p>
      <w:pPr>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A2: </w:t>
            </w:r>
            <w:r>
              <w:rPr>
                <w:rFonts w:ascii="Arial" w:cs="Arial" w:eastAsia="Arial" w:hAnsi="Arial"/>
                <w:color w:val="14284B"/>
                <w:sz w:val="14"/>
                <w:szCs w:val="14"/>
              </w:rPr>
              <w:t xml:space="preserve">Precio del petróleo Brent, 2022–2026 (USD/barril)</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A3: </w:t>
            </w:r>
            <w:r>
              <w:rPr>
                <w:rFonts w:ascii="Arial" w:cs="Arial" w:eastAsia="Arial" w:hAnsi="Arial"/>
                <w:color w:val="14284B"/>
                <w:sz w:val="14"/>
                <w:szCs w:val="14"/>
              </w:rPr>
              <w:t xml:space="preserve">Rendimiento soberano a 10 años, 2022–2026 (%)</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A4: </w:t>
            </w:r>
            <w:r>
              <w:rPr>
                <w:rFonts w:ascii="Arial" w:cs="Arial" w:eastAsia="Arial" w:hAnsi="Arial"/>
                <w:color w:val="14284B"/>
                <w:sz w:val="14"/>
                <w:szCs w:val="14"/>
              </w:rPr>
              <w:t xml:space="preserve">Spreads a 10 años: Francia–Alemania y Chile–EE.UU. (pb)</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spacing w:after="0" w:before="10" w:line="216" w:lineRule="auto"/>
            </w:pPr>
            <w:r>
              <w:rPr>
                <w:rFonts w:ascii="Arial" w:cs="Arial" w:eastAsia="Arial" w:hAnsi="Arial"/>
                <w:color w:val="5F5F5F"/>
                <w:sz w:val="11"/>
                <w:szCs w:val="11"/>
              </w:rPr>
              <w:t xml:space="preserve">Fuente: elaboración propia con los datos de la Figura A3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A5: </w:t>
            </w:r>
            <w:r>
              <w:rPr>
                <w:rFonts w:ascii="Arial" w:cs="Arial" w:eastAsia="Arial" w:hAnsi="Arial"/>
                <w:color w:val="14284B"/>
                <w:sz w:val="14"/>
                <w:szCs w:val="14"/>
              </w:rPr>
              <w:t xml:space="preserve">Crecimiento e inflación mundial, 2022–2026P (%)</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A6: </w:t>
            </w:r>
            <w:r>
              <w:rPr>
                <w:rFonts w:ascii="Arial" w:cs="Arial" w:eastAsia="Arial" w:hAnsi="Arial"/>
                <w:color w:val="14284B"/>
                <w:sz w:val="14"/>
                <w:szCs w:val="14"/>
              </w:rPr>
              <w:t xml:space="preserve">Chile: PIB, inflación y tasa de política monetaria, 2022–2026P (%)</w:t>
            </w:r>
          </w:p>
          <w:p>
            <w:pPr>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de utilidad (Fig. 26)</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pb = precio objetivo −12,3% (Fig. 25)</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tráfico −1,3% / +2,4% del valor (Fig. 24)</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pb: precio objetivo de CLP 2.077 a ~1.940 (Fig. 25)</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 tráfico y ventas; presión sobre la ocupación (Fig. 24)</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5"/>
        <w:szCs w:val="15"/>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802a15131acf6d8cfb6d2b23415df3be75356e.png"/><Relationship Id="rId10" Type="http://schemas.openxmlformats.org/officeDocument/2006/relationships/image" Target="media/339b3b3fea9fdc23356260d546ff3bd5cd9a17b1.png"/><Relationship Id="rId11" Type="http://schemas.openxmlformats.org/officeDocument/2006/relationships/image" Target="media/53969dddf59bc1c8f16c396151f494cd3593db61.png"/><Relationship Id="rId12" Type="http://schemas.openxmlformats.org/officeDocument/2006/relationships/image" Target="media/30cd18c8e68475a6e62bd49f65e7c79a20aa9d06.png"/><Relationship Id="rId13" Type="http://schemas.openxmlformats.org/officeDocument/2006/relationships/image" Target="media/71234321f10eba3adcbbd976d76091adc5da5213.png"/><Relationship Id="rId14" Type="http://schemas.openxmlformats.org/officeDocument/2006/relationships/image" Target="media/ee3ce46107e934bd3d11829fefbef3a94a67d5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2026-10-17T22:58:00.617Z</dcterms:created>
  <dcterms:modified xsi:type="dcterms:W3CDTF">2026-10-17T22:58:00.617Z</dcterms:modified>
</cp:coreProperties>
</file>

<file path=docProps/custom.xml><?xml version="1.0" encoding="utf-8"?>
<Properties xmlns="http://schemas.openxmlformats.org/officeDocument/2006/custom-properties" xmlns:vt="http://schemas.openxmlformats.org/officeDocument/2006/docPropsVTypes"/>
</file>