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APPENDICES: BUSINESS DESCRIPTION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20" w:before="20" w:line="240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A: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Tier A assets by GLA, 2Q26 (thousand m²)</w:t>
            </w:r>
            <w:r>
              <w:br/>
            </w:r>
            <w:r>
              <w:drawing>
                <wp:inline distT="0" distB="0" distL="0" distR="0">
                  <wp:extent cx="2257425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cs="Arial" w:eastAsia="Arial" w:hAnsi="Arial"/>
                <w:i w:val="false"/>
                <w:iCs w:val="false"/>
                <w:color w:val="5F5F5F"/>
                <w:sz w:val="11"/>
                <w:szCs w:val="11"/>
              </w:rPr>
              <w:t xml:space="preserve">Source: </w:t>
            </w: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Plaza S.A., Institutional Presentation 2Q26 (p.12). Tier A = 46.4% of total GLA.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20" w:before="20" w:line="240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B: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Department stores, % of total GLA</w:t>
            </w:r>
            <w:r>
              <w:br/>
            </w:r>
            <w:r>
              <w:drawing>
                <wp:inline distT="0" distB="0" distL="0" distR="0">
                  <wp:extent cx="2257425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cs="Arial" w:eastAsia="Arial" w:hAnsi="Arial"/>
                <w:i w:val="false"/>
                <w:iCs w:val="false"/>
                <w:color w:val="5F5F5F"/>
                <w:sz w:val="11"/>
                <w:szCs w:val="11"/>
              </w:rPr>
              <w:t xml:space="preserve">Source: </w:t>
            </w: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Plaza S.A., Institutional Presentation 2Q26 (p.17).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9b24049313dff36dc84ade4dcb2534413819d0.png"/><Relationship Id="rId10" Type="http://schemas.openxmlformats.org/officeDocument/2006/relationships/image" Target="media/4629fff7f4d90544c6881dfa0ac0b1581647ea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2026-10-17T22:58:00.104Z</dcterms:created>
  <dcterms:modified xsi:type="dcterms:W3CDTF">2026-10-17T22:58:00.104Z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