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FROM ONE MALL IN LA FLORIDA TO 37 URBAN CENTERS ACROSS THE ANDEAN REGION</w:t>
            </w:r>
          </w:p>
          <w:p>
            <w:pPr>
              <w:spacing w:after="60" w:before="0" w:line="228" w:lineRule="auto"/>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pBdr>
                <w:bottom w:val="single" w:color="E9004B" w:sz="8" w:space="1"/>
              </w:pBdr>
              <w:spacing w:after="50" w:before="90"/>
            </w:pPr>
            <w:r>
              <w:rPr>
                <w:rFonts w:ascii="Arial" w:cs="Arial" w:eastAsia="Arial" w:hAnsi="Arial"/>
                <w:b/>
                <w:bCs/>
                <w:color w:val="14284B"/>
                <w:sz w:val="16"/>
                <w:szCs w:val="16"/>
              </w:rPr>
              <w:t xml:space="preserve">A CONSTANTLY REINVENTED TENANT MIX AND HIGH MARGINS BY DESIGN</w:t>
            </w:r>
          </w:p>
          <w:p>
            <w:pPr>
              <w:spacing w:after="60" w:before="0" w:line="228" w:lineRule="auto"/>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B).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pBdr>
                <w:bottom w:val="single" w:color="E9004B" w:sz="8" w:space="1"/>
              </w:pBdr>
              <w:spacing w:after="50" w:before="90"/>
            </w:pPr>
            <w:r>
              <w:rPr>
                <w:rFonts w:ascii="Arial" w:cs="Arial" w:eastAsia="Arial" w:hAnsi="Arial"/>
                <w:b/>
                <w:bCs/>
                <w:color w:val="14284B"/>
                <w:sz w:val="16"/>
                <w:szCs w:val="16"/>
              </w:rPr>
              <w:t xml:space="preserve">VALUE IS CONCENTRATED IN 10 TIER A ASSETS</w:t>
            </w:r>
          </w:p>
          <w:p>
            <w:pPr>
              <w:spacing w:after="60" w:before="0" w:line="228" w:lineRule="auto"/>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A). Investment is directed toward them, as the expansions under construction at Trébol, Oeste, Norte, Trujillo and La Serena aim to lift Tier A assets to more than 70% of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r>
              <w:br/>
            </w:r>
            <w:r>
              <w:drawing>
                <wp:inline distT="0" distB="0" distL="0" distR="0">
                  <wp:extent cx="22574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412432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e4f513e480b807c532d9e3f3e7875c4083abcd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2026-10-17T22:58:00.066Z</dcterms:created>
  <dcterms:modified xsi:type="dcterms:W3CDTF">2026-10-17T22:58:00.066Z</dcterms:modified>
</cp:coreProperties>
</file>

<file path=docProps/custom.xml><?xml version="1.0" encoding="utf-8"?>
<Properties xmlns="http://schemas.openxmlformats.org/officeDocument/2006/custom-properties" xmlns:vt="http://schemas.openxmlformats.org/officeDocument/2006/docPropsVTypes"/>
</file>