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pBdr>
          <w:bottom w:val="single" w:color="14284B" w:sz="18" w:space="2"/>
        </w:pBdr>
        <w:spacing w:after="80" w:before="0"/>
      </w:pPr>
      <w:r>
        <w:rPr>
          <w:rFonts w:ascii="Arial" w:cs="Arial" w:eastAsia="Arial" w:hAnsi="Arial"/>
          <w:b/>
          <w:bCs/>
          <w:color w:val="14284B"/>
          <w:sz w:val="30"/>
          <w:szCs w:val="30"/>
        </w:rPr>
        <w:t xml:space="preserve">ANEXO [B]: FLUJO DE CAJA DESCONTADO</w:t>
      </w:r>
    </w:p>
    <w:p>
      <w:pPr>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[Z]).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1.391</w:t>
                  </w:r>
                </w:p>
              </w:tc>
            </w:tr>
          </w:tbl>
          <w:p/>
        </w:tc>
      </w:tr>
    </w:tbl>
    <w:p>
      <w:pPr>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modelo v4, hojas DCF y Sensibilidad; 2.190 MM de acciones.</w:t>
      </w:r>
    </w:p>
    <w:p>
      <w:pPr>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bl>
    <w:p>
      <w:pPr>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LECTURA</w:t>
            </w:r>
          </w:p>
          <w:p>
            <w:pPr>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30).</w:t>
            </w:r>
          </w:p>
          <w:p>
            <w:pPr>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(+40.818) e indexa por inflación (+30.006) hasta 1.030.197; el FCFF 2032E = NOPAT 594.732 + D&amp;A 7.249 − mantención 56.661 − capital de trabajo 4.682 = 540.638.</w:t>
            </w:r>
          </w:p>
        </w:tc>
      </w:tr>
    </w:tbl>
    <w:p>
      <w:pPr>
        <w:pBdr>
          <w:bottom w:val="single" w:color="14284B" w:sz="18" w:space="2"/>
        </w:pBdr>
        <w:spacing w:after="80" w:before="200"/>
      </w:pPr>
      <w:r>
        <w:rPr>
          <w:rFonts w:ascii="Arial" w:cs="Arial" w:eastAsia="Arial" w:hAnsi="Arial"/>
          <w:b/>
          <w:bCs/>
          <w:color w:val="14284B"/>
          <w:sz w:val="30"/>
          <w:szCs w:val="30"/>
        </w:rPr>
        <w:t xml:space="preserve">ANEXO [C]: SUPUESTOS DE LA PROYECCIÓN</w:t>
      </w:r>
    </w:p>
    <w:p>
      <w:pPr>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pBdr>
          <w:bottom w:val="single" w:color="E9004B" w:sz="8" w:space="1"/>
        </w:pBdr>
        <w:spacing w:after="50" w:before="100"/>
      </w:pPr>
      <w:r>
        <w:rPr>
          <w:rFonts w:ascii="Arial" w:cs="Arial" w:eastAsia="Arial" w:hAnsi="Arial"/>
          <w:b/>
          <w:bCs/>
          <w:color w:val="14284B"/>
          <w:sz w:val="16"/>
          <w:szCs w:val="16"/>
        </w:rPr>
        <w:t xml:space="preserve">D. CALENDARIO DE LA DEUDA (CLP MM; HOJA DEUDA)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3.090.244</w:t>
            </w:r>
          </w:p>
        </w:tc>
      </w:tr>
    </w:tbl>
    <w:p>
      <w:pPr>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6. Fuente: modelo v4 (Release 2Q26; EEFF dic-25; Exhibits v7).</w:t>
      </w:r>
    </w:p>
    <w:p>
      <w:pPr>
        <w:pageBreakBefore/>
        <w:pBdr>
          <w:bottom w:val="single" w:color="14284B" w:sz="18" w:space="2"/>
        </w:pBdr>
        <w:spacing w:after="80" w:before="0"/>
      </w:pPr>
      <w:r>
        <w:rPr>
          <w:rFonts w:ascii="Arial" w:cs="Arial" w:eastAsia="Arial" w:hAnsi="Arial"/>
          <w:b/>
          <w:bCs/>
          <w:color w:val="14284B"/>
          <w:sz w:val="30"/>
          <w:szCs w:val="30"/>
        </w:rPr>
        <w:t xml:space="preserve">ANEXO [E]: MÚLTIPLOS COMPARABLES</w:t>
      </w:r>
    </w:p>
    <w:p>
      <w:pPr>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v4, hojas Comparables y Precio_Objetivo; Figuras_Valuacion, V7.</w:t>
      </w:r>
    </w:p>
    <w:p>
      <w:pPr>
        <w:pBdr>
          <w:bottom w:val="single" w:color="14284B" w:sz="18" w:space="2"/>
        </w:pBdr>
        <w:spacing w:after="80" w:before="200"/>
      </w:pPr>
      <w:r>
        <w:rPr>
          <w:rFonts w:ascii="Arial" w:cs="Arial" w:eastAsia="Arial" w:hAnsi="Arial"/>
          <w:b/>
          <w:bCs/>
          <w:color w:val="14284B"/>
          <w:sz w:val="30"/>
          <w:szCs w:val="30"/>
        </w:rPr>
        <w:t xml:space="preserve">ANEXO [F]: ESCENARIOS Y ROBUSTEZ</w:t>
      </w:r>
    </w:p>
    <w:p>
      <w:pPr>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 La ponderación por probabilidad es un cross-check: el precio objetivo sigue siendo el del caso base.</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 (todos a la vez)</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Ponderado</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25 / 50 / 25 (supuesto del equipo, por validar)</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+136</w:t>
                  </w:r>
                </w:p>
              </w:tc>
            </w:tr>
          </w:tbl>
          <w:p>
            <w:pPr>
              <w:pBdr>
                <w:bottom w:val="single" w:color="E9004B" w:sz="8" w:space="1"/>
              </w:pBdr>
              <w:spacing w:after="50" w:before="100"/>
            </w:pPr>
            <w:r>
              <w:rPr>
                <w:rFonts w:ascii="Arial" w:cs="Arial" w:eastAsia="Arial" w:hAnsi="Arial"/>
                <w:b/>
                <w:bCs/>
                <w:color w:val="14284B"/>
                <w:sz w:val="16"/>
                <w:szCs w:val="16"/>
              </w:rPr>
              <w:t xml:space="preserve">D. SENSIBILIDADES PEDIDAS POR LA REVISIÓN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−41,8%</w:t>
                  </w:r>
                </w:p>
              </w:tc>
            </w:tr>
          </w:tbl>
          <w:p/>
        </w:tc>
      </w:tr>
    </w:tbl>
    <w:p>
      <w:pPr>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réplica del DCF v4 (escenarios_dcf.py); modelo v4, hojas APV, Sensibilidad (tabla 2, estática) y DCF; Figuras_Valuacion, WACC_Construccion y V6.</w:t>
      </w:r>
    </w:p>
    <w:p>
      <w:pPr>
        <w:pageBreakBefore/>
        <w:pBdr>
          <w:bottom w:val="single" w:color="14284B" w:sz="18" w:space="2"/>
        </w:pBdr>
        <w:spacing w:after="80" w:before="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 (Figura Z1)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v4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2.449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v4 con la WACC desplazada en todos los períodos.</w:t>
            </w:r>
          </w:p>
        </w:tc>
      </w:tr>
    </w:tbl>
    <w:sectPr>
      <w:headerReference w:type="default" r:id="rId7"/>
      <w:footerReference w:type="default" r:id="rId8"/>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7f9670dd9b87d723848d2dd6de478ef16272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2026-10-17T22:57:42.775Z</dcterms:created>
  <dcterms:modified xsi:type="dcterms:W3CDTF">2026-10-17T22:57:42.775Z</dcterms:modified>
</cp:coreProperties>
</file>

<file path=docProps/custom.xml><?xml version="1.0" encoding="utf-8"?>
<Properties xmlns="http://schemas.openxmlformats.org/officeDocument/2006/custom-properties" xmlns:vt="http://schemas.openxmlformats.org/officeDocument/2006/docPropsVTypes"/>
</file>