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2,077 per share, 41.6% below the CLP 3,555 close of 30-Sep-26 (−39.6%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1,391 to 2,329 even with nominal WACC ±100 bp and nominal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image. The APV, which values the firm without debt and adds the tax shields separately, gives CLP 1,895, only 2% above the DCF: the result does not depend on how we model financing. Multiples range from CLP 2,152 (common-set median) to 3,294 (Chilean median), and NTM EV/EBITDA and EV/EBIT fall between CLP 2,914 and 3,098. Everything lands to the left of the price; only the stock's own one-year trading range reaches it.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DISCOUNT RATE</w:t>
            </w:r>
          </w:p>
          <w:p>
            <w:pPr>
              <w:spacing w:after="60" w:before="0" w:line="228" w:lineRule="auto"/>
              <w:jc w:val="both"/>
            </w:pPr>
            <w:r>
              <w:rPr>
                <w:rFonts w:ascii="Arial" w:cs="Arial" w:eastAsia="Arial" w:hAnsi="Arial"/>
                <w:color w:val="1A1A1A"/>
                <w:sz w:val="16"/>
                <w:szCs w:val="16"/>
              </w:rPr>
              <w:t xml:space="preserve">We project the firm's free cash flow (FCFF) in nominal CLP from 30-Jun-26, with an explicit horizon to 2031E and a terminal value that explains 78% of EV (Appendix 15). The CLP 1,859 per share is CLP 543 of explicit cash flows and CLP 1,926 of terminal value, less CLP 610 of net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the new debt (CLP 1.46 trillion) funds all capex while operating cash is distributed to shareholders. Nominal WACC thus moves from 10.54% in 2H26E to 10.41% at the terminal (7.32% and 7.20% real): a nominal Ke of 11.93% (8.67% real; USD Rf of 4.98%, re-levered beta of 1.14 from a six-peer median of 0.00, ERP 4.14% and a revenue-weighted CRP of 1.41%) and a nominal after-tax Kd of 5.11%, based on the 3.6% real (UF) coupon of the latest issue (Appendix 19).</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and nominal: the US Treasury Rf, the implied market risk premium published by Damodaran and country risk, which we weight by revenue. We then convert it to pesos with the differential between expected inflation in Chile (3.0%, the central bank target) and in the US (2.24%, 10-year breakeven). Beta is unlevered with Hamada (six regional peers) and re-levered each period (NaN in 2H26E, 1.14 at the terminal).</w:t>
            </w:r>
          </w:p>
          <w:p>
            <w:pPr>
              <w:spacing w:after="60" w:before="0" w:line="228" w:lineRule="auto"/>
              <w:jc w:val="both"/>
            </w:pPr>
            <w:r>
              <w:rPr>
                <w:rFonts w:ascii="Arial" w:cs="Arial" w:eastAsia="Arial" w:hAnsi="Arial"/>
                <w:color w:val="1A1A1A"/>
                <w:sz w:val="16"/>
                <w:szCs w:val="16"/>
              </w:rPr>
              <w:t xml:space="preserve">The first signal is the asset (firm) IRR: the single rate that equates FCFF and terminal value to the enterprise value the market pays at CLP 3,555 (EV of CLP 9.12 trillion). It is 7.61% nominal (4.48% real in UF), 280 bp below the nominal WACC (272 bp in real terms) and only ~88 real bp above the real cost of its debt (Figure 28).</w:t>
            </w:r>
          </w:p>
          <w:p>
            <w:pPr>
              <w:keepNext/>
              <w:spacing w:after="30" w:before="40" w:line="228" w:lineRule="auto"/>
            </w:pPr>
            <w:r>
              <w:rPr>
                <w:rFonts w:ascii="Arial" w:cs="Arial" w:eastAsia="Arial" w:hAnsi="Arial"/>
                <w:b/>
                <w:bCs/>
                <w:color w:val="14284B"/>
                <w:sz w:val="14"/>
                <w:szCs w:val="14"/>
              </w:rPr>
              <w:t xml:space="preserve">Asset (firm) and new-project IRR vs WACC: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the price of</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Market: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4.48%</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 / −272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Our target: CLP 2,077</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9.88%</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6.68%</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 / −51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Our DCF: CLP 1,859</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 / +2 bp</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New project: 1 m² (cohort)</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7.98%</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4.84%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 / −236 bp</w:t>
                  </w:r>
                </w:p>
              </w:tc>
            </w:tr>
          </w:tbl>
          <w:p>
            <w:pPr>
              <w:spacing w:after="60" w:before="20" w:line="216" w:lineRule="auto"/>
              <w:jc w:val="both"/>
            </w:pPr>
            <w:r>
              <w:rPr>
                <w:rFonts w:ascii="Arial" w:cs="Arial" w:eastAsia="Arial" w:hAnsi="Arial"/>
                <w:color w:val="5F5F5F"/>
                <w:sz w:val="11"/>
                <w:szCs w:val="11"/>
              </w:rPr>
              <w:t xml:space="preserve">Asset IRR: the single rate that equates FCFF and terminal value to the enterprise value paid; at the DCF value it equals the WACC. New project: cash flow of 1 m² with the expansion cost, ramp and margin, maintenance and working capital. Real = (1 + nom.) / (1 + 3.0%) − 1. The implied WACC in Figure 34 (7.60%) shifts the whole WACC curve and the single-rate IRR is 7.61%: two readings of the same idea. Source: model v4, TIR_Implicita and TIR_Proyecto sheets.</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We are not pessimistic about operations. We project a 79.7% EBITDA margin in 2026E (excluding revaluations, below the 80.5% LTM), a cash tax rate converging from 16.8% to 27% by 2030, the company's full dated pipeline (170,200 m² and USD 613 MM, including 46,500 m² of “other projects” in Chile opening in 2028) and, from 2029, 27,075 new m² per year, the historical organic pace. The consensus of 13 analysts expects 12-month EBITDA only ~3% above ours: the disagreement with the market is not in the cash flows.</w:t>
            </w:r>
          </w:p>
          <w:p>
            <w:pPr>
              <w:spacing w:after="60" w:before="0" w:line="228" w:lineRule="auto"/>
              <w:jc w:val="both"/>
            </w:pPr>
            <w:r>
              <w:rPr>
                <w:rFonts w:ascii="Arial" w:cs="Arial" w:eastAsia="Arial" w:hAnsi="Arial"/>
                <w:color w:val="1A1A1A"/>
                <w:sz w:val="16"/>
                <w:szCs w:val="16"/>
              </w:rPr>
              <w:t xml:space="preserve">Capex follows the company's plan and is split into maintenance and IT (5.5% of revenue, CLP 42–53 bn per year) and incremental capex: the pipeline under way (CLP 534 bn in 2H26E–2028E) and continuous expansion (CLP 95–104 bn per year from 2028, at USD 3,603 per m² and a revenue ramp of 35%, 90% and 100%). Total capex peaks at CLP 336 bn in 2027E and settles near 16% of revenue from 2029E (Figure F7). Working capital (15.6% of revenue) requires CLP 7.3–9.9 bn per year and, if it were zero, the target would rise only 1.3% (Figure 29; Appendix 16).</w:t>
            </w:r>
          </w:p>
          <w:p>
            <w:pPr>
              <w:spacing w:after="60" w:before="0" w:line="228" w:lineRule="auto"/>
              <w:jc w:val="both"/>
            </w:pPr>
            <w:r>
              <w:rPr>
                <w:rFonts w:ascii="Arial" w:cs="Arial" w:eastAsia="Arial" w:hAnsi="Arial"/>
                <w:color w:val="1A1A1A"/>
                <w:sz w:val="16"/>
                <w:szCs w:val="16"/>
              </w:rPr>
              <w:t xml:space="preserve">Two assumptions deserve an explanation. The cash tax rate starts at 16.8% because the company currently uses tax goodwill and accumulated losses; we assume those shields run out and the rate reaches 27% in 2030. It is real cash savings (lower current tax), not accounting: CLP 62 per share undiscounted; without it the target falls 2.1% (Figure 29). And working capital grows with revenue, not with new m².</w:t>
            </w:r>
          </w:p>
          <w:p>
            <w:pPr>
              <w:spacing w:after="60" w:before="0" w:line="228" w:lineRule="auto"/>
              <w:jc w:val="both"/>
            </w:pPr>
            <w:r>
              <w:rPr>
                <w:rFonts w:ascii="Arial" w:cs="Arial" w:eastAsia="Arial" w:hAnsi="Arial"/>
                <w:color w:val="1A1A1A"/>
                <w:sz w:val="16"/>
                <w:szCs w:val="16"/>
              </w:rPr>
              <w:t xml:space="preserve">Price and sales. For a rental operator the price is rent per m², and tenants' sales reach revenue only through variable rent (5.7% of revenue). So 1 pp more nominal same-store rent growth in 2027–28 adds CLP 45 to the DCF value per share, 18 times what 1 pp more tenant-sales growth adds (CLP 2.6); 1 pp more real rent growth in 2029–31 adds CLP 57. Better prices can translate into higher sales and variable rent when occupancy and traffic sustain them, so in the bull case we move both levers at once (rent +9.4%, sales +9.9%): even so, the target stays 18% below the price.</w:t>
            </w:r>
          </w:p>
          <w:p>
            <w:pPr>
              <w:spacing w:after="60" w:before="0" w:line="228" w:lineRule="auto"/>
              <w:jc w:val="both"/>
            </w:pPr>
            <w:r>
              <w:rPr>
                <w:rFonts w:ascii="Arial" w:cs="Arial" w:eastAsia="Arial" w:hAnsi="Arial"/>
                <w:color w:val="1A1A1A"/>
                <w:sz w:val="16"/>
                <w:szCs w:val="16"/>
              </w:rPr>
              <w:t xml:space="preserve">The problem is the return on growth. Each new m² yields 7.3% real before tax on its cost (expansion mix: 67% Chile, 33% Peru), a real after-tax RONIC of 5.3%, below a real WACC of 7.2%. The IRR of a new m², with capex, ramp, maintenance and working capital, is 4.84% real (7.98% nominal): 236 bp below the real WACC and 243 bp below the nominal one; to match it, revenue per m² would have to be 1.54 times the model's. Expansion adds revenue but not value: that is why terminal value grows only with inflation (nominal g of 3.0%, 0% real) and a higher g reduces value (Figure 30). Assuming more growth would not close the gap with the price; it would widen it. The explicit horizon therefore includes the capex and maturation of projects opening through 2032 (108,301 m² mature in the terminal year), but from there terminal incremental capex is zero and only maintenance remains.</w:t>
            </w:r>
          </w:p>
          <w:p>
            <w:pPr>
              <w:pBdr>
                <w:bottom w:val="single" w:color="E9004B" w:sz="8" w:space="1"/>
              </w:pBdr>
              <w:spacing w:after="50" w:before="90"/>
            </w:pPr>
            <w:r>
              <w:rPr>
                <w:rFonts w:ascii="Arial" w:cs="Arial" w:eastAsia="Arial" w:hAnsi="Arial"/>
                <w:b/>
                <w:bCs/>
                <w:color w:val="14284B"/>
                <w:sz w:val="16"/>
                <w:szCs w:val="16"/>
              </w:rPr>
              <w:t xml:space="preserve">WHY EXPAND IF IT DOES NOT CREATE VALUE?</w:t>
            </w:r>
          </w:p>
          <w:p>
            <w:pPr>
              <w:spacing w:after="60" w:before="0" w:line="228" w:lineRule="auto"/>
              <w:jc w:val="both"/>
            </w:pPr>
            <w:r>
              <w:rPr>
                <w:rFonts w:ascii="Arial" w:cs="Arial" w:eastAsia="Arial" w:hAnsi="Arial"/>
                <w:color w:val="1A1A1A"/>
                <w:sz w:val="16"/>
                <w:szCs w:val="16"/>
              </w:rPr>
              <w:t xml:space="preserve">If growth earns less than the cost of capital, what pushes management to keep going? We put forward four hypotheses, to be verified against the annual report and financial statements. First, accounting versus economics: debt is 100% UF-denominated at ~3.6% real, below what a new asset yields, so every debt-financed project improves FFO, EBITDA and profit even if it does not cover the return required on total capital. Second, revaluation: under IAS 40 appraisals use real rates of 5.5–6.4%, below the WACC, and each new asset is appraised above its cost and generates accounting profit. Third, the controlling shareholder: if the group (Falabella, to be confirmed) has anchor stores or other businesses in those malls, a new m² serves the group even if it earns little for Plaza, an agency conflict with minority shareholders (to be verified in the related-party notes). Fourth, compensation: if bonuses depend on GLA or EBITDA rather than ROIC, expanding is rational for management (to be verified). There are also defensible strategic reasons, such as scarce land and network advantages. It is a corporate-governance and capital-allocation risk, and it does not contradict that the business is good. The break-even for expansion is a real WACC of 5.3% (8.5% nominal); the WACC implied by the price (7.60% nominal, 4.5% real) is below that level: if the market were right, expanding would create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Intraday 52-week range (01-10-25 to 30-09-26; low 10-10-25, high 27-04-26).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the firm earns almost the same as its debt (real rates, UF)</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(30-06-26);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With every strong assumption in our favor the target reaches CLP 2,977, still 16% below the price</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Cumulative waterfall in the order shown; the table gives each assumption's effect alone. Target price = 80% DCF + 20% multiples. Source: DCF v4 replica;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nominal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MAGNITUDE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not about quality but about rates: with local real bonds of 2.5% in Chile and 8.1% in Brazil (NTN-B), the cap-rate spread (EBITDA/EV yield; with UF-indexed rents it is compared with real rates) over the local rate is similar in both countries, 385 bp in Chile and 302 bp in Brazil (Figure 31). That is why we weight the Chilean median 70% and the common-set median 30% (which includes IRSA; we exclude Fibra Danhos because of its FIBRA regime): 14.4x, which leads to CLP 2,951 per share. The weighting matters little: from 0% to 100% Chile, the target price only moves from CLP 1,916 to 2,144 (Appendix 17).</w:t>
            </w:r>
          </w:p>
          <w:p>
            <w:pPr>
              <w:spacing w:after="60" w:before="0" w:line="228" w:lineRule="auto"/>
              <w:jc w:val="both"/>
            </w:pPr>
            <w:r>
              <w:rPr>
                <w:rFonts w:ascii="Arial" w:cs="Arial" w:eastAsia="Arial" w:hAnsi="Arial"/>
                <w:color w:val="1A1A1A"/>
                <w:sz w:val="16"/>
                <w:szCs w:val="16"/>
              </w:rPr>
              <w:t xml:space="preserve">We chose the set with the same criterion as beta. IRSA stays with caution, because it reports under IAS 29 and its NTM consensus has a single analyst; Fibra Danhos is out because, as a FIBRA, it must distribute 95% of its taxable income and has no beta in the WACC. We use EV/EBITDA because it is neutral to leverage and to revaluation (IAS 40), and measure everyone with Bloomberg net debt (CLP 1,311,569 MM for Mallplaza, close to the CLP 1,285,740 MM net financial debt in the DCF; the difference is CLP 25,828 MM of IFRS 16 lease liabilities).</w:t>
            </w:r>
          </w:p>
          <w:p>
            <w:pPr>
              <w:spacing w:after="60" w:before="0" w:line="228" w:lineRule="auto"/>
              <w:jc w:val="both"/>
            </w:pPr>
            <w:r>
              <w:rPr>
                <w:rFonts w:ascii="Arial" w:cs="Arial" w:eastAsia="Arial" w:hAnsi="Arial"/>
                <w:color w:val="1A1A1A"/>
                <w:sz w:val="16"/>
                <w:szCs w:val="16"/>
              </w:rPr>
              <w:t xml:space="preserve">Quality does not justify the premium either. Mallplaza trades 29% above Cencosud Shopping, yet its EBITDA per m² is only 1.9% higher (see Industry); only at Parque Arauco's multiple (18.4x), which runs 5.7x leverage, would it be worth more than its price. Every multiple, from NTM EV/EBITDA (CLP 2,914) to P/BV (CLP 3,171), sits below the price (Figure 32): they confirm the stock is expensive, and the DCF gives the magnitude. We exclude P/E (CLP 8,644), distorted by property revaluation. In prices: at the Chilean median the stock would be worth CLP 3,294 (−7%); at Cencosud's multiple, CLP 2,621; and only at Parque Arauco's, CLP 3,967. Defending CLP 3,555 with multiples requires assuming Mallplaza deserves the valuation of the most leveraged peer in the group.</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real cap rate of 6.0% (LTM EBITDA / EV, comparable with real rates because rents are UF-indexed), against 10.1% in our DCF, 6.4% for Chilean peers and 7.5% at book value (Figure 33). The market pays 1.61 times an equity that is already at fair value, appraised with a real discount rate of ~5.55% (Note 11); the real IRR the price leaves, 4.5%, is below that rate: it pays more than the appraisers themselves. To justify CLP 3,555, nominal WACC would have to be 281 bp lower (7.60%, 4.5% real; Figure 34); even with the appraisers' rate (5.55% real, 8.72% nominal), the DCF would be CLP 2,679. (The implied WACC shifts the whole WACC curve; the single-rate IRR, 7.61%, is the same idea and also gives CLP 3,555.)</w:t>
            </w:r>
          </w:p>
          <w:p>
            <w:pPr>
              <w:pBdr>
                <w:bottom w:val="single" w:color="E9004B" w:sz="8" w:space="1"/>
              </w:pBdr>
              <w:spacing w:after="50" w:before="90"/>
            </w:pPr>
            <w:r>
              <w:rPr>
                <w:rFonts w:ascii="Arial" w:cs="Arial" w:eastAsia="Arial" w:hAnsi="Arial"/>
                <w:b/>
                <w:bCs/>
                <w:color w:val="14284B"/>
                <w:sz w:val="16"/>
                <w:szCs w:val="16"/>
              </w:rPr>
              <w:t xml:space="preserve">WHY THE MARKET PAYS CLP 3,555</w:t>
            </w:r>
          </w:p>
          <w:p>
            <w:pPr>
              <w:spacing w:after="60" w:before="0" w:line="228" w:lineRule="auto"/>
              <w:jc w:val="both"/>
            </w:pPr>
            <w:r>
              <w:rPr>
                <w:rFonts w:ascii="Arial" w:cs="Arial" w:eastAsia="Arial" w:hAnsi="Arial"/>
                <w:color w:val="1A1A1A"/>
                <w:sz w:val="16"/>
                <w:szCs w:val="16"/>
              </w:rPr>
              <w:t xml:space="preserve">In twelve months the stock went from a low of CLP 2,470 (10-Oct-25) to a high of CLP 4,700 (27-Apr-26), a ~90% rise the business does not explain: EBITDA grew 5–10% a year. The push came from outside. The Chilean market rose 56% in 2025, with a change of government and expectations of lower taxes, and malls returned ~48% (LarrainVial) and re-rated together. MSCI EM Mid Cap inclusion (25-Nov-25) forced passive funds to buy ~USD 110 MM, some 15 times daily volume (Morgan Stanley). And analysts extrapolated growth: JPMorgan projects FFO growing ~11% a year to 2028, double our ~6% (2026E–2028E), and the Chilean sector trades at 18.6x FFO against 10.5x in Brazil. The fall to CLP 3,555 (−24% from the high) coincides with weaker-than-expected results (EBITDA +5.2% in 1Q26), JPMorgan's target cut and the 10-year UST rising to 5.22%. It is a partial correction: at that price the stock trades 91% above the DCF, 33% above the value at the appraisers' rate (CLP 2,679) and at 1.61x book value. The buyers who took the price to its high (passive funds, sector momentum and extrapolated growth) do not change the business's cash flows. Figures attributed to analysts come from their own notes and intermediate prices are approximate (Figure R2).</w:t>
            </w:r>
          </w:p>
          <w:p>
            <w:pPr>
              <w:pBdr>
                <w:bottom w:val="single" w:color="E9004B" w:sz="8" w:space="1"/>
              </w:pBdr>
              <w:spacing w:after="50" w:before="90"/>
            </w:pPr>
            <w:r>
              <w:rPr>
                <w:rFonts w:ascii="Arial" w:cs="Arial" w:eastAsia="Arial" w:hAnsi="Arial"/>
                <w:b/>
                <w:bCs/>
                <w:color w:val="14284B"/>
                <w:sz w:val="16"/>
                <w:szCs w:val="16"/>
              </w:rPr>
              <w:t xml:space="preserve">OUR VALUE VERSUS THE CONSENSUS</w:t>
            </w:r>
          </w:p>
          <w:p>
            <w:pPr>
              <w:spacing w:after="60" w:before="0" w:line="228" w:lineRule="auto"/>
              <w:jc w:val="both"/>
            </w:pPr>
            <w:r>
              <w:rPr>
                <w:rFonts w:ascii="Arial" w:cs="Arial" w:eastAsia="Arial" w:hAnsi="Arial"/>
                <w:color w:val="1A1A1A"/>
                <w:sz w:val="16"/>
                <w:szCs w:val="16"/>
              </w:rPr>
              <w:t xml:space="preserve">Bloomberg shows 14 sources with an average recommendation of 2.85 (1 buy, 10 hold, 2 sell) and a 12-month target price of CLP 4,111, 49.5% above ours; the lowest is Goldman Sachs (sell, CLP 3,377) and the range runs from 3,377 to 4,600. Four reasons explain the gap (Figure R3). The discount rate is the main one: the price requires a nominal WACC of 7.60%, 281 bp below our 10.41%, and since terminal value is 78% of EV, each point of rate weighs heavily. Multiples do not get there either: the 20% on multiples gives CLP 2,951, 17% below the price, so it is not all WACC. The horizon also counts: targets are 12-month and ours is as of 30-Jun-26; at our nominal Ke of 11.93%, CLP 4,111 is worth ~CLP 3,673 today, so the gap narrows but does not close. And growth: if growth earns less than the WACC, our model penalises it, while the market probably values it at a return close to the cap rate. On the consensus side, targets follow the price (the stock rose 39% in 12 months and targets rose with it), 77% hold and only 15% recommend selling, which may reflect issuer-relationship bias without proving they are wrong; we do not know their assumptions, only their targets.</w:t>
            </w:r>
          </w:p>
          <w:p>
            <w:pPr>
              <w:pBdr>
                <w:bottom w:val="single" w:color="E9004B" w:sz="8" w:space="1"/>
              </w:pBdr>
              <w:spacing w:after="50" w:before="90"/>
            </w:pPr>
            <w:r>
              <w:rPr>
                <w:rFonts w:ascii="Arial" w:cs="Arial" w:eastAsia="Arial" w:hAnsi="Arial"/>
                <w:b/>
                <w:bCs/>
                <w:color w:val="14284B"/>
                <w:sz w:val="16"/>
                <w:szCs w:val="16"/>
              </w:rPr>
              <w:t xml:space="preserve">SCENARIOS: WHAT WOULD HAVE TO HAPPEN</w:t>
            </w:r>
          </w:p>
          <w:p>
            <w:pPr>
              <w:spacing w:after="60" w:before="0" w:line="228" w:lineRule="auto"/>
              <w:jc w:val="both"/>
            </w:pPr>
            <w:r>
              <w:rPr>
                <w:rFonts w:ascii="Arial" w:cs="Arial" w:eastAsia="Arial" w:hAnsi="Arial"/>
                <w:color w:val="1A1A1A"/>
                <w:sz w:val="16"/>
                <w:szCs w:val="16"/>
              </w:rPr>
              <w:t xml:space="preserve">We push the thesis to its extremes with three scenarios defined with the same levers as the Risks tornado (Figure T), instead of moving only the discount rate. Bear is everything going wrong at once: nominal WACC +100 bp and every operating lever at its historical minimum. Bull is everything going right: nominal WACC −100 bp, every lever at its historical maximum and a 23% tax rate (Reconstruction Law). Base is the model's central estimate. Same-store rent (price) and tenants' sales move together; nominal g stays at 3.0% in all three. Weighted 25/50/25% (team assumption, to be validated), the target price would be CLP 2,153.</w:t>
            </w:r>
          </w:p>
          <w:p>
            <w:pPr>
              <w:keepNext/>
              <w:spacing w:after="30" w:before="40" w:line="228" w:lineRule="auto"/>
            </w:pPr>
            <w:r>
              <w:rPr>
                <w:rFonts w:ascii="Arial" w:cs="Arial" w:eastAsia="Arial" w:hAnsi="Arial"/>
                <w:b/>
                <w:bCs/>
                <w:color w:val="14284B"/>
                <w:sz w:val="14"/>
                <w:szCs w:val="14"/>
              </w:rPr>
              <w:t xml:space="preserve">Scenarios: bear (everything goes wrong), base (central) and bull (everything goes right)</w:t>
            </w:r>
          </w:p>
          <w:tbl>
            <w:tblPr>
              <w:tblW w:type="dxa" w:w="7850"/>
              <w:tblBorders>
                <w:top w:val="none" w:color="FFFFFF" w:sz="0"/>
                <w:left w:val="none" w:color="FFFFFF" w:sz="0"/>
                <w:bottom w:val="none" w:color="FFFFFF" w:sz="0"/>
                <w:right w:val="none" w:color="FFFFFF" w:sz="0"/>
                <w:insideH w:val="none" w:color="FFFFFF" w:sz="0"/>
                <w:insideV w:val="none" w:color="FFFFFF" w:sz="0"/>
              </w:tblBorders>
            </w:tblPr>
            <w:tblGrid>
              <w:gridCol w:w="2700"/>
              <w:gridCol w:w="1750"/>
              <w:gridCol w:w="1650"/>
              <w:gridCol w:w="1750"/>
            </w:tblGrid>
            <w:tr>
              <w:trPr>
                <w:tblHeader/>
              </w:trPr>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 (all at once)</w:t>
                  </w:r>
                </w:p>
              </w:tc>
              <w:tc>
                <w:tcPr>
                  <w:tcW w:type="dxa" w:w="1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Bear</w:t>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Base</w:t>
                  </w:r>
                </w:p>
              </w:tc>
              <w:tc>
                <w:tcPr>
                  <w:tcW w:type="dxa" w:w="17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Bull</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Terminal nominal WACC (all periods)</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 bp (11.41%; 8.17% real)</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(7.20% real)</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 bp (9.41%; 6.23% real)</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margin (historical quarterly min / max)</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75.8%</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 (2026E)</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81.3%</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Consolidated occupancy</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95.1%</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95.6%</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96.6%</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Same-store rent 2027–28 (price, nominal)</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Tenant sales 2027–28 (variable rent, 5.7% of revenue)</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rent growth 2029–31</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Note 11 floor</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model</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Note 11 ceiling</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Maintenance + IT capex (% of revenue)</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Long-run tax rate</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DCF value / 80/20 target price (CLP)</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1,190 / 1,542</w:t>
                  </w:r>
                </w:p>
              </w:tc>
              <w:tc>
                <w:tcPr>
                  <w:tcW w:type="dxa" w:w="16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1,859 / 2,077</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2,906 / 2,915</w:t>
                  </w:r>
                </w:p>
              </w:tc>
            </w:tr>
            <w:tr>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Target price vs CLP 3,555</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−56.6%</w:t>
                  </w:r>
                </w:p>
              </w:tc>
              <w:tc>
                <w:tcPr>
                  <w:tcW w:type="dxa" w:w="16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c>
                <w:tcPr>
                  <w:tcW w:type="dxa" w:w="17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−18.0%</w:t>
                  </w:r>
                </w:p>
              </w:tc>
            </w:tr>
            <w:tr>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Firm IRR at the price (nom.) / gap vs WACC</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 / −446 bp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 / −280 bp</w:t>
                  </w:r>
                </w:p>
              </w:tc>
              <w:tc>
                <w:tcPr>
                  <w:tcW w:type="dxa" w:w="17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8.51% / −90 bp</w:t>
                  </w:r>
                </w:p>
              </w:tc>
            </w:tr>
            <w:tr>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Probability (team assumption)</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17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w:t>
                  </w:r>
                </w:p>
              </w:tc>
            </w:tr>
          </w:tbl>
          <w:p>
            <w:pPr>
              <w:spacing w:after="60" w:before="20" w:line="216" w:lineRule="auto"/>
              <w:jc w:val="both"/>
            </w:pPr>
            <w:r>
              <w:rPr>
                <w:rFonts w:ascii="Arial" w:cs="Arial" w:eastAsia="Arial" w:hAnsi="Arial"/>
                <w:color w:val="5F5F5F"/>
                <w:sz w:val="11"/>
                <w:szCs w:val="11"/>
              </w:rPr>
              <w:t xml:space="preserve">Operating levers are the historical extremes of the Risks tornado; nominal WACC and g; rent (price) and sales move together. Terminal nominal g 3.0% in all three. Weighted 25/50/25%: DCF CLP 1,953, target price CLP 2,153 (−39.4%). Source: DCF v4 replica (Appendix 18); Team analysis.</w:t>
            </w:r>
          </w:p>
          <w:p>
            <w:pPr>
              <w:spacing w:after="60" w:before="0" w:line="228" w:lineRule="auto"/>
              <w:jc w:val="both"/>
            </w:pPr>
            <w:r>
              <w:rPr>
                <w:rFonts w:ascii="Arial" w:cs="Arial" w:eastAsia="Arial" w:hAnsi="Arial"/>
                <w:color w:val="1A1A1A"/>
                <w:sz w:val="16"/>
                <w:szCs w:val="16"/>
              </w:rPr>
              <w:t xml:space="preserve">The result is robust: even with everything in its favour the target price (CLP 2,915) does not reach the quote. The firm's IRR at the market price barely changes across scenarios (7.0%, 7.6% and 8.5% nominal in bear, base and bull; 3.8%, 4.5% and 5.3% real) and always sits below each one's WACC (446, 280 and 90 nominal bp): not even the bull leaves a margin of safety. The APV (CLP 1,895), an Rf based on the peso bond (~CLP 2,449) and other debt targets (DCF of CLP 1,820 to 1,897) lead to the same conclusion (Appendix 18).</w:t>
            </w:r>
          </w:p>
          <w:p>
            <w:pPr>
              <w:spacing w:after="60" w:before="0" w:line="228" w:lineRule="auto"/>
              <w:jc w:val="both"/>
            </w:pPr>
            <w:r>
              <w:rPr>
                <w:rFonts w:ascii="Arial" w:cs="Arial" w:eastAsia="Arial" w:hAnsi="Arial"/>
                <w:color w:val="1A1A1A"/>
                <w:sz w:val="16"/>
                <w:szCs w:val="16"/>
              </w:rPr>
              <w:t xml:space="preserve">The APV also says how much the debt is really worth. Of its CLP 1,895 per share, CLP 1,630 is the unlevered firm and CLP 265 the tax shields of the projected debt: levering up to 3.5x adds value, but even adding it does not approach the price. Our risk-free choice is the conservative one: using the nominal peso bond (5.43%) and also adding country risk would count Chile risk twice, and even so the target price would only rise to ~CLP 2,449, 31% below the price. With an expected dividend of ~CLP 69 per share (2.0%), the expected total return is −39.6%.</w:t>
            </w:r>
          </w:p>
          <w:p>
            <w:pPr>
              <w:spacing w:after="60" w:before="0" w:line="228" w:lineRule="auto"/>
              <w:jc w:val="both"/>
            </w:pPr>
            <w:r>
              <w:rPr>
                <w:rFonts w:ascii="Arial" w:cs="Arial" w:eastAsia="Arial" w:hAnsi="Arial"/>
                <w:color w:val="1A1A1A"/>
                <w:sz w:val="16"/>
                <w:szCs w:val="16"/>
              </w:rPr>
              <w:t xml:space="preserve">That is how we get to CLP 2,077 (80% × 1,859 + 20% × 2,951): 10.8x EBITDA, a real cap rate of 6.1% and 0.94x book value. Rolling the DCF forward to 30-Sep-26 would lift it to ~CLP 2,119, without changing the recommendation. The catalyst is the one that holds the thesis together: with the nominal 10Y UST at 5.22%, the highest since 2002, rates pressure cap rates, and each new appraisal moves them toward our value. We would be wrong if cap rates compress further on institutional demand for defensive assets, or if the market sustains a structural premium for Tier A assets (see Investment Risks). We will watch the Note 11 appraisal at each close, the spread on the company's UF bond versus its 3.6% real coupon (at the 4.33% real effective rate of the latest issue, nominal WACC would rise 12 bp and the target price would fall to CLP 2,042), the cut in corporate tax to 23% (+5.2% to the target price, not yet included) and the AAA rating, which would probably come under pressure at 3.5x net debt/EBITDA.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10-year UF (BCCh) and NTN-B 2035 (8.08%) at 30-06-26. Spread = cap rate (1 / EV/EBITDA) − real bond. IRSA omitted (IAS 29). Source: Bloomberg; BCCh;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Implied value per peer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price = 80% DCF + 20% LTM EV/EBITDA. P/E excluded (includes revaluation). Source: Bloomberg (30-09-26);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 (real cap rate)</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Cap rate = LTM EBITDA / EV, comparable with real rates (UF rents). 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The price requires a nominal WACC 281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Terminal nominal WACC; all periods shift in parallel. 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e16ef57941409eee6e94a2d6c5511e46a35793.png"/><Relationship Id="rId10" Type="http://schemas.openxmlformats.org/officeDocument/2006/relationships/image" Target="media/2a6b0f2ac8832b7c12f667a3975c7b1964fe63e8.png"/><Relationship Id="rId11" Type="http://schemas.openxmlformats.org/officeDocument/2006/relationships/image" Target="media/1944e863e62344d05b6b4a9a1ea35573f0612b0e.png"/><Relationship Id="rId12" Type="http://schemas.openxmlformats.org/officeDocument/2006/relationships/image" Target="media/eeb49a167269fc0a91c0c4a75b20708efac19c4d.png"/><Relationship Id="rId13" Type="http://schemas.openxmlformats.org/officeDocument/2006/relationships/image" Target="media/30cb8469be326b2ca7bbe97b9caa7e1c4842f99d.png"/><Relationship Id="rId14" Type="http://schemas.openxmlformats.org/officeDocument/2006/relationships/image" Target="media/d19845d240351a66262022ce06ffb29352733df7.png"/><Relationship Id="rId15" Type="http://schemas.openxmlformats.org/officeDocument/2006/relationships/image" Target="media/6d4245e5736d476c6068841c65de536c03dc7734.png"/><Relationship Id="rId16" Type="http://schemas.openxmlformats.org/officeDocument/2006/relationships/image" Target="media/67c89cb4ae7917c65ab489b04440d7c5c815b40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2026-10-17T22:36:19.071Z</dcterms:created>
  <dcterms:modified xsi:type="dcterms:W3CDTF">2026-10-17T22:36:19.071Z</dcterms:modified>
</cp:coreProperties>
</file>

<file path=docProps/custom.xml><?xml version="1.0" encoding="utf-8"?>
<Properties xmlns="http://schemas.openxmlformats.org/officeDocument/2006/custom-properties" xmlns:vt="http://schemas.openxmlformats.org/officeDocument/2006/docPropsVTypes"/>
</file>