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 seis pares de 0,00, ERP 4,14% y CRP de 1,41% ponderado por ingresos) y un Kd nominal de 5,11% después de impuestos, basado en el cupón real de 3,6% (UF)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(NaN en 2S26E, 1,14 en el terminal).</w:t>
            </w:r>
          </w:p>
          <w:p>
            <w:pPr>
              <w:spacing w:after="60" w:before="0" w:line="228" w:lineRule="auto"/>
              <w:jc w:val="both"/>
            </w:pPr>
            <w:r>
              <w:rPr>
                <w:rFonts w:ascii="Arial" w:cs="Arial" w:eastAsia="Arial" w:hAnsi="Arial"/>
                <w:color w:val="1A1A1A"/>
                <w:sz w:val="16"/>
                <w:szCs w:val="16"/>
              </w:rPr>
              <w:t xml:space="preserve">La primera señal es la TIR del activo (la firma): la tasa única que iguala el FCFF y el valor terminal al valor de empresa que paga el mercado a CLP 3.555 (EV de CLP 9,12 billones). Es 7,61% nominal (4,48% real en UF), 280 pb bajo la WACC nominal (272 pb en términos reales) y apenas ~88 pb reales sobre el costo real de su deuda (Figura 28).</w:t>
            </w:r>
          </w:p>
          <w:p>
            <w:pPr>
              <w:keepNext/>
              <w:spacing w:after="30" w:before="40" w:line="228" w:lineRule="auto"/>
            </w:pPr>
            <w:r>
              <w:rPr>
                <w:rFonts w:ascii="Arial" w:cs="Arial" w:eastAsia="Arial" w:hAnsi="Arial"/>
                <w:b/>
                <w:bCs/>
                <w:color w:val="14284B"/>
                <w:sz w:val="14"/>
                <w:szCs w:val="14"/>
              </w:rPr>
              <w:t xml:space="preserve">TIR del activo (firma) y del proyecto nuevo frente a la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Mercado: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objetivo: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pb</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Proyecto nuevo: 1 m² (cohorte)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pb</w:t>
                  </w:r>
                </w:p>
              </w:tc>
            </w:tr>
          </w:tbl>
          <w:p>
            <w:pPr>
              <w:spacing w:after="60" w:before="20" w:line="216" w:lineRule="auto"/>
              <w:jc w:val="both"/>
            </w:pPr>
            <w:r>
              <w:rPr>
                <w:rFonts w:ascii="Arial" w:cs="Arial" w:eastAsia="Arial" w:hAnsi="Arial"/>
                <w:color w:val="5F5F5F"/>
                <w:sz w:val="11"/>
                <w:szCs w:val="11"/>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34 (7,60%) desplaza toda la curva de WACC y la TIR de tasa única es 7,61%: dos lecturas de la misma idea. Fuente: modelo v4, hojas TIR_Implicita y TIR_Proyecto.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F7). El capital de trabajo (15,6% de los ingresos) exige CLP 7,3–9,9 mil MM al año y, si fuera cero, el objetivo subiría solo 1,3% (Figura 29;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29). Y el capital de trabajo crece con los ingresos, no con los m² nuevos.</w:t>
            </w:r>
          </w:p>
          <w:p>
            <w:pPr>
              <w:spacing w:after="60" w:before="0" w:line="228" w:lineRule="auto"/>
              <w:jc w:val="both"/>
            </w:pPr>
            <w:r>
              <w:rPr>
                <w:rFonts w:ascii="Arial" w:cs="Arial" w:eastAsia="Arial" w:hAnsi="Arial"/>
                <w:color w:val="1A1A1A"/>
                <w:sz w:val="16"/>
                <w:szCs w:val="16"/>
              </w:rPr>
              <w:t xml:space="preserve">Precio y ventas. En un operador de arriendos el precio es el arriendo por m², y las ventas de los locatarios llegan al ingreso solo por la renta variable (5,7% de los ingresos).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spacing w:after="60" w:before="0" w:line="228" w:lineRule="auto"/>
              <w:jc w:val="both"/>
            </w:pPr>
            <w:r>
              <w:rPr>
                <w:rFonts w:ascii="Arial" w:cs="Arial" w:eastAsia="Arial" w:hAnsi="Arial"/>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30).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p>
            <w:pPr>
              <w:pBdr>
                <w:bottom w:val="single" w:color="E9004B" w:sz="8" w:space="1"/>
              </w:pBdr>
              <w:spacing w:after="50" w:before="90"/>
            </w:pPr>
            <w:r>
              <w:rPr>
                <w:rFonts w:ascii="Arial" w:cs="Arial" w:eastAsia="Arial" w:hAnsi="Arial"/>
                <w:b/>
                <w:bCs/>
                <w:color w:val="14284B"/>
                <w:sz w:val="16"/>
                <w:szCs w:val="16"/>
              </w:rPr>
              <w:t xml:space="preserve">¿POR QUÉ EXPANDIRSE SI NO CREA VALOR?</w:t>
            </w:r>
          </w:p>
          <w:p>
            <w:pPr>
              <w:spacing w:after="60" w:before="0" w:line="228" w:lineRule="auto"/>
              <w:jc w:val="both"/>
            </w:pPr>
            <w:r>
              <w:rPr>
                <w:rFonts w:ascii="Arial" w:cs="Arial" w:eastAsia="Arial" w:hAnsi="Arial"/>
                <w:color w:val="1A1A1A"/>
                <w:sz w:val="16"/>
                <w:szCs w:val="16"/>
              </w:rPr>
              <w:t xml:space="preserve">Si crecer rinde menos que el costo de capital, ¿qué empuja a la administración a seguir? Planteamos cuatro hipótesis, por verificar con la memoria y los EEFF. Primero, contabilidad frente a economía: la deuda es 100% en UF a ~3,6% real, bajo lo que rinde un activo nuevo, así que cada proyecto financiado con deuda mejora FFO, EBITDA y utilidad aunque no cubra el retorno exigido al capital total. Segundo, la revalorización: bajo NIC 40 las tasaciones usan tasas reales de 5,5–6,4%, menores que la WACC, y cada activo nuevo se tasa sobre su costo y genera utilidad contable. Tercero, el controlador: si el grupo (Falabella, por confirmar) tiene tiendas ancla u otros negocios en esos malls, un m² nuevo le sirve al grupo aunque a Plaza le rinda poco, un conflicto de agencia con los minoritarios (por verificar en las notas de partes relacionadas). Cuarto, la compensación: si los bonos dependen del GLA o del EBITDA y no del ROIC, expandirse es racional para la gerencia (por verificar). Hay también razones estratégicas defendibles, como el suelo escaso y las ventajas de red. Es un riesgo de gobierno corporativo y de asignación de capital, y no contradice que el negocio sea bueno. El punto de equilibrio de la expansión es una WACC real de 5,3% (8,5% nominal); la WACC implícita en el precio (7,60% nominal, 4,5% real) queda bajo ese nivel: si el mercado tuviera razón, expandir crearía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la firma rinde casi lo mismo que su deuda (tasas reales,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Con todos los supuestos fuertes a favor el objetivo llega a CLP 2.977, aún 16% bajo el precio</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v4;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nominal.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del DCF; la diferencia son CLP 25.828 MM de pasivos por arrendamiento NIIF 16).</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1,9%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 Puesto en precios: a la mediana chilena la acción valdría CLP 3.294 (−7%); al múltiplo de Cencosud, CLP 2.621; y solo al de Parque Arauco, CLP 3.967. Defender CLP 3.555 con múltiplos exige suponer que Mallplaza merece la valoración del par más apalancado del grupo.</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33).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34); incluso con la tasa de los tasadores (5,55% real, 8,72% nominal), el DCF sería CLP 2.679. (La WACC implícita desplaza toda la curva de WACC; la TIR de tasa única, 7,61%, es la misma idea y también da CLP 3.555.)</w:t>
            </w:r>
          </w:p>
          <w:p>
            <w:pPr>
              <w:pBdr>
                <w:bottom w:val="single" w:color="E9004B" w:sz="8" w:space="1"/>
              </w:pBdr>
              <w:spacing w:after="50" w:before="90"/>
            </w:pPr>
            <w:r>
              <w:rPr>
                <w:rFonts w:ascii="Arial" w:cs="Arial" w:eastAsia="Arial" w:hAnsi="Arial"/>
                <w:b/>
                <w:bCs/>
                <w:color w:val="14284B"/>
                <w:sz w:val="16"/>
                <w:szCs w:val="16"/>
              </w:rPr>
              <w:t xml:space="preserve">POR QUÉ EL MERCADO PAGA CLP 3.555</w:t>
            </w:r>
          </w:p>
          <w:p>
            <w:pPr>
              <w:spacing w:after="60" w:before="0" w:line="228" w:lineRule="auto"/>
              <w:jc w:val="both"/>
            </w:pPr>
            <w:r>
              <w:rPr>
                <w:rFonts w:ascii="Arial" w:cs="Arial" w:eastAsia="Arial" w:hAnsi="Arial"/>
                <w:color w:val="1A1A1A"/>
                <w:sz w:val="16"/>
                <w:szCs w:val="16"/>
              </w:rPr>
              <w:t xml:space="preserve">En doce meses la acción pasó de un mínimo de CLP 2.470 (10-oct-25) a un máximo de CLP 4.700 (27-abr-26), un alza de ~90% que el negocio no explica: el EBITDA creció 5–10% anual. El impulso vino de afuera. La bolsa chilena subió 56% en 2025, con un cambio de gobierno y expectativas de menores impuestos, y los malls rentaron ~48% (LarrainVial) y se revalorizaron en bloque. La inclusión en el MSCI EM Mid Cap (25-nov-25) obligó a fondos pasivos a comprar ~USD 110 MM, unas 15 veces el volumen diario (Morgan Stanley). Y los analistas extrapolaron crecimiento: JPMorgan proyecta un FFO que crece ~11% anual hasta 2028, el doble de nuestro ~6% (2026E–2028E), y el sector chileno transa a 18,6x FFO frente a 10,5x en Brasil. La caída a CLP 3.555 (−24% desde el máximo) coincide con resultados bajo lo esperado (EBITDA +5,2% en 1T26), el recorte del objetivo de JPMorgan y el alza del UST a 10 años a 5,22%. Es una corrección parcial: a ese precio la acción cotiza 91% sobre el DCF, 33% sobre el valor con la tasa de los tasadores (CLP 2.679) y a 1,61x su valor libro. Los compradores que llevaron el precio al máximo (fondos pasivos, impulso sectorial y crecimiento extrapolado) no cambian los flujos del negocio. Las cifras atribuidas a analistas son de sus propias notas y los precios intermedios son aproximados (Figura R2).</w:t>
            </w:r>
          </w:p>
          <w:p>
            <w:pPr>
              <w:pBdr>
                <w:bottom w:val="single" w:color="E9004B" w:sz="8" w:space="1"/>
              </w:pBdr>
              <w:spacing w:after="50" w:before="90"/>
            </w:pPr>
            <w:r>
              <w:rPr>
                <w:rFonts w:ascii="Arial" w:cs="Arial" w:eastAsia="Arial" w:hAnsi="Arial"/>
                <w:b/>
                <w:bCs/>
                <w:color w:val="14284B"/>
                <w:sz w:val="16"/>
                <w:szCs w:val="16"/>
              </w:rPr>
              <w:t xml:space="preserve">NUESTRO VALOR FRENTE AL CONSENSO</w:t>
            </w:r>
          </w:p>
          <w:p>
            <w:pPr>
              <w:spacing w:after="60" w:before="0" w:line="228" w:lineRule="auto"/>
              <w:jc w:val="both"/>
            </w:pPr>
            <w:r>
              <w:rPr>
                <w:rFonts w:ascii="Arial" w:cs="Arial" w:eastAsia="Arial" w:hAnsi="Arial"/>
                <w:color w:val="1A1A1A"/>
                <w:sz w:val="16"/>
                <w:szCs w:val="16"/>
              </w:rPr>
              <w:t xml:space="preserve">Bloomberg muestra 14 fuentes con una recomendación promedio de 2,85 (1 comprar, 10 mantener, 2 vender) y un precio objetivo a 12 meses de CLP 4.111, 49,5% sobre el nuestro; el más bajo es el de Goldman Sachs (vender, CLP 3.377) y el rango va de 3.377 a 4.600. Cuatro razones explican la brecha (Figura R3).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Del lado del consenso, los objetivos siguen al precio (la acción subió 39% en 12 meses y los objetivos subieron con ella), 77% mantiene y solo 15% recomienda vender, lo que puede reflejar sesgo de relación con emisores sin probar que estén equivocados; no conocemos sus supuestos, solo sus objetivos.</w:t>
            </w:r>
          </w:p>
          <w:p>
            <w:pPr>
              <w:pBdr>
                <w:bottom w:val="single" w:color="E9004B" w:sz="8" w:space="1"/>
              </w:pBdr>
              <w:spacing w:after="50" w:before="90"/>
            </w:pPr>
            <w:r>
              <w:rPr>
                <w:rFonts w:ascii="Arial" w:cs="Arial" w:eastAsia="Arial" w:hAnsi="Arial"/>
                <w:b/>
                <w:bCs/>
                <w:color w:val="14284B"/>
                <w:sz w:val="16"/>
                <w:szCs w:val="16"/>
              </w:rPr>
              <w:t xml:space="preserve">ESCENARIOS: LO QUE TENDRÍA QUE PASAR</w:t>
            </w:r>
          </w:p>
          <w:p>
            <w:pPr>
              <w:spacing w:after="60" w:before="0" w:line="228" w:lineRule="auto"/>
              <w:jc w:val="both"/>
            </w:pPr>
            <w:r>
              <w:rPr>
                <w:rFonts w:ascii="Arial" w:cs="Arial" w:eastAsia="Arial" w:hAnsi="Arial"/>
                <w:color w:val="1A1A1A"/>
                <w:sz w:val="16"/>
                <w:szCs w:val="16"/>
              </w:rPr>
              <w:t xml:space="preserve">Llevamos la tesis a sus extremos con tres escenarios definidos con las mismas palancas del tornado de Riesgos (Figura T), en vez de mover solo la tasa. Bear es todo lo que sale mal a la vez: WACC nominal +100 pb y cada palanca operacional en su mínimo histórico. Bull es todo lo que sale bien: WACC nominal −100 pb, cada palanca en su máximo histórico e impuesto de 23% (Ley de Reconstrucción). Base es la estimación central del modelo. El arriendo en mismas tiendas (precio) y las ventas de los locatarios se mueven juntos; g nominal se mantiene en 3,0% en los tres. Ponderados 25/50/25% (supuesto del equipo, por validar), el precio objetivo sería CLP 2.153.</w:t>
            </w:r>
          </w:p>
          <w:p>
            <w:pPr>
              <w:keepNext/>
              <w:spacing w:after="30" w:before="40" w:line="228" w:lineRule="auto"/>
            </w:pPr>
            <w:r>
              <w:rPr>
                <w:rFonts w:ascii="Arial" w:cs="Arial" w:eastAsia="Arial" w:hAnsi="Arial"/>
                <w:b/>
                <w:bCs/>
                <w:color w:val="14284B"/>
                <w:sz w:val="14"/>
                <w:szCs w:val="14"/>
              </w:rPr>
              <w:t xml:space="preserve">Escenarios: bear (todo sale mal), base (central) y bull (todo sale bien)</w:t>
            </w:r>
          </w:p>
          <w:tbl>
            <w:tblPr>
              <w:tblW w:type="dxa" w:w="7850"/>
              <w:tblBorders>
                <w:top w:val="none" w:color="FFFFFF" w:sz="0"/>
                <w:left w:val="none" w:color="FFFFFF" w:sz="0"/>
                <w:bottom w:val="none" w:color="FFFFFF" w:sz="0"/>
                <w:right w:val="none" w:color="FFFFFF" w:sz="0"/>
                <w:insideH w:val="none" w:color="FFFFFF" w:sz="0"/>
                <w:insideV w:val="none" w:color="FFFFFF" w:sz="0"/>
              </w:tblBorders>
            </w:tblPr>
            <w:tblGrid>
              <w:gridCol w:w="2700"/>
              <w:gridCol w:w="1750"/>
              <w:gridCol w:w="1650"/>
              <w:gridCol w:w="1750"/>
            </w:tblGrid>
            <w:tr>
              <w:trPr>
                <w:tblHeader/>
              </w:trPr>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 (todos a la vez)</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Base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terminal (todos los períodos)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pb (11,41%; 8,17% real)</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(7,20% real)</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pb (9,41%; 6,23% real)</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(mín. / máx. histórico trimestral)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75,8%</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 (2026E)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81,3%</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 consolidada</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95,1%</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95,6%</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96,6%</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 nominal)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 5,7% del ingreso)</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piso Nota 11</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modelo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techo Nota 11</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 de ingresos)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de largo plazo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DCF / precio objetivo 80/20 (CLP)</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1.190 / 1.542</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 / 2.077</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2.906 / 2.915</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vs CLP 3.555</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−56,6%</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−18,0%</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TIR de la firma al precio (nom.) / brecha vs WACC</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 / −446 pb</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 / −280 pb</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8,51% / −90 pb</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Probabilidad (supuesto del equipo)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bl>
          <w:p>
            <w:pPr>
              <w:spacing w:after="60" w:before="20" w:line="216" w:lineRule="auto"/>
              <w:jc w:val="both"/>
            </w:pPr>
            <w:r>
              <w:rPr>
                <w:rFonts w:ascii="Arial" w:cs="Arial" w:eastAsia="Arial" w:hAnsi="Arial"/>
                <w:color w:val="5F5F5F"/>
                <w:sz w:val="11"/>
                <w:szCs w:val="11"/>
              </w:rPr>
              <w:t xml:space="preserve">Las palancas operacionales son los extremos históricos del tornado de Riesgos; WACC y g nominales; arriendo (precio) y ventas se mueven juntos. g nominal terminal 3,0% en los tres. Ponderado 25/50/25%: DCF CLP 1.953, precio objetivo CLP 2.153 (−39,4%). Fuente: réplica del DCF v4 (Anexo 18); análisis del equipo.</w:t>
            </w:r>
          </w:p>
          <w:p>
            <w:pPr>
              <w:spacing w:after="60" w:before="0" w:line="228" w:lineRule="auto"/>
              <w:jc w:val="both"/>
            </w:pPr>
            <w:r>
              <w:rPr>
                <w:rFonts w:ascii="Arial" w:cs="Arial" w:eastAsia="Arial" w:hAnsi="Arial"/>
                <w:color w:val="1A1A1A"/>
                <w:sz w:val="16"/>
                <w:szCs w:val="16"/>
              </w:rPr>
              <w:t xml:space="preserve">El resultado es robusto: ni con todo a favor el precio objetivo (CLP 2.915) alcanza la cotización. La TIR de la firma al precio de mercado casi no cambia entre escenarios (7,0%, 7,6% y 8,5% nominal en bear, base y bull; 3,8%, 4,5% y 5,3% real) y queda siempre bajo la WACC de cada uno (446, 280 y 90 pb nominales): ni el bull deja margen de seguridad. El APV (CLP 1.895), una Rf basada en el bono en pesos (~CLP 2.449) y otros objetivos de deuda (DCF de CLP 1.820 a 1.897) llevan a la misma conclusión (Anexo 18).</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spacing w:after="60" w:before="0" w:line="228" w:lineRule="auto"/>
              <w:jc w:val="both"/>
            </w:pPr>
            <w:r>
              <w:rPr>
                <w:rFonts w:ascii="Arial" w:cs="Arial" w:eastAsia="Arial" w:hAnsi="Arial"/>
                <w:color w:val="1A1A1A"/>
                <w:sz w:val="16"/>
                <w:szCs w:val="16"/>
              </w:rPr>
              <w:t xml:space="preserve">Así llegamos a CLP 2.077 (80% × 1.859 + 20% × 2.951): 10,8x EBITDA, un cap rate real de 6,1% y 0,94x el valor libro. Llevar el DCF al 30-sep-26 lo subiría a ~CLP 2.119, sin cambiar la recomendación. El catalizador es el mismo que sostiene la tesis: con el UST 10Y nominal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 Vigilaremos la tasación de la Nota 11 en cada cierre, el spread del bono UF frente a su cupón real de 3,6% (con la tasa efectiva real de 4,33% de la última emisión, la WACC nominal subiría 12 pb y el precio objetivo bajaría a CLP 2.042), la rebaja del impuesto corporativo a 23% (+5,2%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 (cap rate real)</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EBITDA UDM / EV, comparable con tasas reales (rentas en UF). 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nominal 281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WACC nominal terminal; todos los períodos se desplazan en paralelo. 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4c3b799e111b35c14611db94b252208b570328.png"/><Relationship Id="rId10" Type="http://schemas.openxmlformats.org/officeDocument/2006/relationships/image" Target="media/ba45f66748a717018d547bb42e2f5d824b10d203.png"/><Relationship Id="rId11" Type="http://schemas.openxmlformats.org/officeDocument/2006/relationships/image" Target="media/21920877934c9931d8267664993f222a8428bd47.png"/><Relationship Id="rId12" Type="http://schemas.openxmlformats.org/officeDocument/2006/relationships/image" Target="media/8e0c26777730e1aac65fea69001a2d8a7c22b295.png"/><Relationship Id="rId13" Type="http://schemas.openxmlformats.org/officeDocument/2006/relationships/image" Target="media/e2ccf62f48e92e82e3d897a5379bf2c580267fad.png"/><Relationship Id="rId14" Type="http://schemas.openxmlformats.org/officeDocument/2006/relationships/image" Target="media/ead92b919a2f809084c3d1d395d08da1bfaafce1.png"/><Relationship Id="rId15" Type="http://schemas.openxmlformats.org/officeDocument/2006/relationships/image" Target="media/4be407fa4bc5e1b7c90dd855d13e6eb7add103a9.png"/><Relationship Id="rId16" Type="http://schemas.openxmlformats.org/officeDocument/2006/relationships/image" Target="media/48c761d5675c07161b48f3504273a2fef78823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2026-10-17T22:36:18.560Z</dcterms:created>
  <dcterms:modified xsi:type="dcterms:W3CDTF">2026-10-17T22:36:18.560Z</dcterms:modified>
</cp:coreProperties>
</file>

<file path=docProps/custom.xml><?xml version="1.0" encoding="utf-8"?>
<Properties xmlns="http://schemas.openxmlformats.org/officeDocument/2006/custom-properties" xmlns:vt="http://schemas.openxmlformats.org/officeDocument/2006/docPropsVTypes"/>
</file>