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clasifica cada riesgo según su probabilidad y su impacto sobre el valor por acción (Figuras 24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1.669 (−10,2%), y el piso histórico del crecimiento de rentas en mismas tiendas lo lleva a CLP 1.783 (−4,1%) (Figura 24). Todas las palancas a la vez, con la WACC +100 pb, definen el escenario bear (precio objetivo CLP 1.542, −56,6% frente al precio).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−4,1%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nominal +50 pb y +100 pb, el precio objetivo cae 6,7% y 12,5%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pequeño, porque las rentas indexadas suben con la inflación: una alza de 100 pb de la tasa larga nominal que venga toda de inflación esperada resta solo 0,3%; si viniera toda de tasa real, 12,2% (Figura 26). El riesgo está en que un menor consumo impida traspasar la inflación a las rentas: si solo se reajustara el 70% del flujo, el efecto de la inflación subiría a 1,0%. Un menor consumo también frena las nuevas líneas de negocio (Anexo [X]).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Hay también un riesgo de asignación de capital: la expansión rinde menos que su costo (RONIC real de 5,3% frente a una WACC real de 7,2%), de modo que seguir creciendo beneficia a la utilidad contable y a un controlador con otros negocios en esos malls más que al minoritario (por verificar; ver Valuación).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~5,2%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Mallplaza 4T23–2T26; EEFF para capex de mantención y tasación, Nota 11). WACC 10,41% y g 3,0% constantes. Fuente: Mallplaza;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Precio objetivo según la tasa larga y la parte de su alza que viene de inflación (CLP)</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144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BCP a 10 años (base 6,25%); alza repartida entre tasa real e inflación; 85% del flujo indexado (supuesto del equipo). Fuente: BCCh; equipo.</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86a4abce57fb872cd303c60ab1117ebc25455f.png"/><Relationship Id="rId10" Type="http://schemas.openxmlformats.org/officeDocument/2006/relationships/image" Target="media/640091c601831c94757c9beaa38556bcaceab19a.png"/><Relationship Id="rId11" Type="http://schemas.openxmlformats.org/officeDocument/2006/relationships/image" Target="media/2393ddd953397b7c61f612eebcf594f85fb6039c.png"/><Relationship Id="rId12" Type="http://schemas.openxmlformats.org/officeDocument/2006/relationships/image" Target="media/0c15b5a79e1bc6be757d6fe508db25c49a027af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2026-10-17T22:37:34.536Z</dcterms:created>
  <dcterms:modified xsi:type="dcterms:W3CDTF">2026-10-17T22:37:34.536Z</dcterms:modified>
</cp:coreProperties>
</file>

<file path=docProps/custom.xml><?xml version="1.0" encoding="utf-8"?>
<Properties xmlns="http://schemas.openxmlformats.org/officeDocument/2006/custom-properties" xmlns:vt="http://schemas.openxmlformats.org/officeDocument/2006/docPropsVTypes"/>
</file>