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INVESTMENT RISKS</w:t>
      </w:r>
    </w:p>
    <w:p>
      <w:pPr>
        <w:shd w:fill="EEF1F6" w:color="auto" w:val="clear"/>
        <w:spacing w:after="80" w:line="228"/>
      </w:pPr>
      <w:sdt>
        <w:sdtPr>
          <w:rPr>
            <w:rFonts w:ascii="Arial" w:hAnsi="Arial" w:cs="Arial"/>
            <w:color w:val="1A1A1A"/>
            <w:sz w:val="16"/>
            <w:szCs w:val="16"/>
          </w:rPr>
          <w:id w:val="1000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6"/>
              <w:szCs w:val="16"/>
            </w:rPr>
            <w:t xml:space="preserve">[Summary: overall risk view for Mallplaza and the main risks to the recommendation and target price.]</w:t>
          </w:r>
        </w:sdtContent>
      </w:sdt>
    </w:p>
    <w:tbl>
      <w:tblPr>
        <w:tblW w:type="dxa" w:w="11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50"/>
        <w:gridCol w:w="250"/>
        <w:gridCol w:w="3800"/>
      </w:tblGrid>
      <w:tr>
        <w:tc>
          <w:tcPr>
            <w:tcW w:type="dxa" w:w="6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RISK ASSESSMENT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[Explain how likelihood and impact were scored (1–5) in Figure 1 and which risks fall in the high-risk zone.]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OPERATIONAL RISKS</w:t>
            </w:r>
          </w:p>
          <w:p>
            <w:pPr>
              <w:spacing w:after="10" w:before="30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2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EBITDA margin compression]</w:t>
                </w:r>
              </w:sdtContent>
            </w:sdt>
          </w:p>
          <w:p>
            <w:pPr>
              <w:spacing w:after="1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3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30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5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slowdown in same-store rent growth]</w:t>
                </w:r>
              </w:sdtContent>
            </w:sdt>
          </w:p>
          <w:p>
            <w:pPr>
              <w:spacing w:after="1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3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30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OR3: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8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maintenance capex]</w:t>
                </w:r>
              </w:sdtContent>
            </w:sdt>
          </w:p>
          <w:p>
            <w:pPr>
              <w:spacing w:after="1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3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FINANCIAL RISKS</w:t>
            </w:r>
          </w:p>
          <w:p>
            <w:pPr>
              <w:spacing w:after="10" w:before="30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1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revaluation of UF-indexed debt]</w:t>
                </w:r>
              </w:sdtContent>
            </w:sdt>
          </w:p>
          <w:p>
            <w:pPr>
              <w:spacing w:after="1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3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30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4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cost of capital]</w:t>
                </w:r>
              </w:sdtContent>
            </w:sdt>
          </w:p>
          <w:p>
            <w:pPr>
              <w:spacing w:after="1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3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MARKET &amp; MACROECONOMIC RISKS</w:t>
            </w:r>
          </w:p>
          <w:p>
            <w:pPr>
              <w:spacing w:after="10" w:before="30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MR1: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7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FX exposure in Peru and Colombia]</w:t>
                </w:r>
              </w:sdtContent>
            </w:sdt>
          </w:p>
          <w:p>
            <w:pPr>
              <w:spacing w:after="1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3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REGULATORY &amp; ESG RISKS</w:t>
            </w:r>
          </w:p>
          <w:p>
            <w:pPr>
              <w:spacing w:after="10" w:before="30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RR1: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20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related-party transactions]</w:t>
                </w:r>
              </w:sdtContent>
            </w:sdt>
          </w:p>
          <w:p>
            <w:pPr>
              <w:spacing w:after="1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3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SENSITIVITY ANALYSIS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[Comment on Figures 2–4: which drivers move the value per share most, the downside versus the base case, and whether the recommendation holds.]</w:t>
                </w:r>
              </w:sdtContent>
            </w:sdt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Risk matrix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75180" cy="2334578"/>
                  <wp:effectExtent t="0" r="0" b="0" l="0"/>
                  <wp:docPr id="1" name="matriz_riesgo.png" descr="matriz_riesgo.png" title="matriz_ries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5180" cy="23345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Operational risk tornado (value per share, CLP)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413000" cy="1508125"/>
                  <wp:effectExtent t="0" r="0" b="0" l="0"/>
                  <wp:docPr id="1" name="tornado_operacional.png" descr="tornado_operacional.png" title="tornado_operaciona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3000" cy="1508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Value per share sensitivity: WACC vs g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413000" cy="1508125"/>
                  <wp:effectExtent t="0" r="0" b="0" l="0"/>
                  <wp:docPr id="1" name="heatmap_sensibilidad_wacc.png" descr="heatmap_sensibilidad_wacc.png" title="heatmap_sensibilidad_wacc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3000" cy="1508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Earnings sensitivity to a rise in the UF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413000" cy="1357313"/>
                  <wp:effectExtent t="0" r="0" b="0" l="0"/>
                  <wp:docPr id="1" name="reajuste_uf.png" descr="reajuste_uf.png" title="reajuste_uf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3000" cy="13573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>
      <w:pgSz w:w="12240" w:h="15840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29a777a3090c0f398bce511e6bb454fdd6b4a21.png"/><Relationship Id="rId8" Type="http://schemas.openxmlformats.org/officeDocument/2006/relationships/image" Target="media/57c698a3fe77d1f2b65835adad1f2a343c4a86c7.png"/><Relationship Id="rId9" Type="http://schemas.openxmlformats.org/officeDocument/2006/relationships/image" Target="media/cbf8318120a8be63346d3ff01aceb165002f8da6.png"/><Relationship Id="rId10" Type="http://schemas.openxmlformats.org/officeDocument/2006/relationships/image" Target="media/55f314e4f57c25ed914704aecefc209ffcee91c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2026-10-06T20:49:36.987Z</dcterms:created>
  <dcterms:modified xsi:type="dcterms:W3CDTF">2026-10-06T20:49:36.991Z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