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w:t>
            </w:r>
            <w:r>
              <w:rPr>
                <w:rFonts w:ascii="Arial" w:cs="Arial" w:eastAsia="Arial" w:hAnsi="Arial"/>
                <w:color w:val="1A1A1A"/>
                <w:sz w:val="16"/>
                <w:szCs w:val="16"/>
                <w:shd w:fill="ECB100" w:color="auto" w:val="clear"/>
              </w:rPr>
              <w:t xml:space="preserve"> (nominal)</w:t>
            </w:r>
            <w:r>
              <w:rPr>
                <w:rFonts w:ascii="Arial" w:cs="Arial" w:eastAsia="Arial" w:hAnsi="Arial"/>
                <w:color w:val="1A1A1A"/>
                <w:sz w:val="16"/>
                <w:szCs w:val="16"/>
              </w:rPr>
              <w:t xml:space="preserve">,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w:t>
            </w:r>
            <w:r>
              <w:rPr>
                <w:rFonts w:ascii="Arial" w:cs="Arial" w:eastAsia="Arial" w:hAnsi="Arial"/>
                <w:color w:val="1A1A1A"/>
                <w:sz w:val="16"/>
                <w:szCs w:val="16"/>
                <w:shd w:fill="ECB100" w:color="auto" w:val="clear"/>
              </w:rPr>
              <w:t xml:space="preserve">11.93% nominal Ke (8.67% real; Rf 4.98%</w:t>
            </w:r>
            <w:r>
              <w:rPr>
                <w:rFonts w:ascii="Arial" w:cs="Arial" w:eastAsia="Arial" w:hAnsi="Arial"/>
                <w:color w:val="1A1A1A"/>
                <w:sz w:val="16"/>
                <w:szCs w:val="16"/>
              </w:rPr>
              <w:t xml:space="preserve">, relevered beta of 1.14 from a six-peer median of 0.94, ERP 4.14% and a 1.41% revenue-weighted CRP) and a </w:t>
            </w:r>
            <w:r>
              <w:rPr>
                <w:rFonts w:ascii="Arial" w:cs="Arial" w:eastAsia="Arial" w:hAnsi="Arial"/>
                <w:color w:val="1A1A1A"/>
                <w:sz w:val="16"/>
                <w:szCs w:val="16"/>
                <w:shd w:fill="ECB100" w:color="auto" w:val="clear"/>
              </w:rPr>
              <w:t xml:space="preserve">5.11% nominal after-tax Kd</w:t>
            </w:r>
            <w:r>
              <w:rPr>
                <w:rFonts w:ascii="Arial" w:cs="Arial" w:eastAsia="Arial" w:hAnsi="Arial"/>
                <w:color w:val="1A1A1A"/>
                <w:sz w:val="16"/>
                <w:szCs w:val="16"/>
              </w:rPr>
              <w:t xml:space="preserve"> based on the </w:t>
            </w:r>
            <w:r>
              <w:rPr>
                <w:rFonts w:ascii="Arial" w:cs="Arial" w:eastAsia="Arial" w:hAnsi="Arial"/>
                <w:color w:val="1A1A1A"/>
                <w:sz w:val="16"/>
                <w:szCs w:val="16"/>
                <w:shd w:fill="ECB100" w:color="auto" w:val="clear"/>
              </w:rPr>
              <w:t xml:space="preserve">3.6% real (UF) coupon</w:t>
            </w:r>
            <w:r>
              <w:rPr>
                <w:rFonts w:ascii="Arial" w:cs="Arial" w:eastAsia="Arial" w:hAnsi="Arial"/>
                <w:color w:val="1A1A1A"/>
                <w:sz w:val="16"/>
                <w:szCs w:val="16"/>
              </w:rPr>
              <w:t xml:space="preserve"> of the latest bond (Appendix [Z]).</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build Ke in dollars because its three inputs are in that currency</w:t>
            </w:r>
            <w:r>
              <w:rPr>
                <w:rFonts w:ascii="Arial" w:cs="Arial" w:eastAsia="Arial" w:hAnsi="Arial"/>
                <w:color w:val="1A1A1A"/>
                <w:sz w:val="16"/>
                <w:szCs w:val="16"/>
                <w:shd w:fill="ECB100" w:color="auto" w:val="clear"/>
              </w:rPr>
              <w:t xml:space="preserve"> and are nominal</w:t>
            </w:r>
            <w:r>
              <w:rPr>
                <w:rFonts w:ascii="Arial" w:cs="Arial" w:eastAsia="Arial" w:hAnsi="Arial"/>
                <w:color w:val="1A1A1A"/>
                <w:sz w:val="16"/>
                <w:szCs w:val="16"/>
              </w:rPr>
              <w:t xml:space="preserve">: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w:t>
            </w:r>
            <w:r>
              <w:rPr>
                <w:rFonts w:ascii="Arial" w:cs="Arial" w:eastAsia="Arial" w:hAnsi="Arial"/>
                <w:color w:val="1A1A1A"/>
                <w:sz w:val="16"/>
                <w:szCs w:val="16"/>
                <w:shd w:fill="ECB100" w:color="auto" w:val="clear"/>
              </w:rPr>
              <w:t xml:space="preserve">The beta is unlevered with Hamada (six regional peers) and relevered each period (1.09 in 2H26E, 1.14 in the terminal period).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The first signal is the IRR, what someone buying at CLP 3,555 earns if our cash flows come true: for the firm, 7.57% nominal (4.44% real in UF), 284 bp below its WACC and just ~80 bp real above its real cost of debt (Figure 28); for the shareholder, −2.0% nominal against a 11.93% Ke.</w:t>
            </w:r>
            <w:r>
              <w:rPr>
                <w:rFonts w:ascii="Arial" w:cs="Arial" w:eastAsia="Arial" w:hAnsi="Arial"/>
                <w:color w:val="1A1A1A"/>
                <w:sz w:val="16"/>
                <w:szCs w:val="16"/>
              </w:rPr>
              <w:t xml:space="preserve"> The market is pricing the stock almost as if it were a bond.</w:t>
            </w:r>
          </w:p>
          <w:p>
            <w:pPr>
              <w:keepNext/>
              <w:spacing w:after="30" w:before="40" w:line="228" w:lineRule="auto"/>
            </w:pP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IRR at the market price vs cost of capital: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CLP 3,555</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Cost of cap.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Firm (FCFF), single rate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Shareholder, exits at our value</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−4.9%</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−1,395 / −1,354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Shareholder, buys at target</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10.6%</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−135 / −131 bp</w:t>
                  </w:r>
                </w:p>
              </w:tc>
            </w:tr>
          </w:tbl>
          <w:p>
            <w:pPr>
              <w:spacing w:after="60" w:before="20" w:line="216" w:lineRule="auto"/>
              <w:jc w:val="both"/>
            </w:pPr>
            <w:r>
              <w:rPr>
                <w:rFonts w:ascii="Arial" w:cs="Arial" w:eastAsia="Arial" w:hAnsi="Arial"/>
                <w:color w:val="5F5F5F"/>
                <w:sz w:val="11"/>
                <w:szCs w:val="11"/>
                <w:shd w:fill="ECB100" w:color="auto" w:val="clear"/>
              </w:rPr>
              <w:t xml:space="preserve">IRR: the rate that equates the value of the cash flows to the price. Firm: a single rate on FCFF and terminal value (Figure 34 shifts the whole WACC curve and gives 7.56%; both give CLP 3,555). Shareholder: the model's distributions (with the extra one that takes net debt/EBITDA to 3.5x) and exit at 31-Dec-31 at our value. Real = (1 + nom.) / (1 + 3.0%) − 1. Source: model v3, TIR_Accionista sheet.</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w:t>
            </w:r>
            <w:r>
              <w:rPr>
                <w:rFonts w:ascii="Arial" w:cs="Arial" w:eastAsia="Arial" w:hAnsi="Arial"/>
                <w:color w:val="1A1A1A"/>
                <w:sz w:val="16"/>
                <w:szCs w:val="16"/>
                <w:shd w:fill="ECB100" w:color="auto" w:val="clear"/>
              </w:rPr>
              <w:t xml:space="preserve">; Appendix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problem is the return on growth. Each new m² yields </w:t>
            </w:r>
            <w:r>
              <w:rPr>
                <w:rFonts w:ascii="Arial" w:cs="Arial" w:eastAsia="Arial" w:hAnsi="Arial"/>
                <w:color w:val="1A1A1A"/>
                <w:sz w:val="16"/>
                <w:szCs w:val="16"/>
                <w:shd w:fill="ECB100" w:color="auto" w:val="clear"/>
              </w:rPr>
              <w:t xml:space="preserve">6.9% real pre-tax</w:t>
            </w:r>
            <w:r>
              <w:rPr>
                <w:rFonts w:ascii="Arial" w:cs="Arial" w:eastAsia="Arial" w:hAnsi="Arial"/>
                <w:color w:val="1A1A1A"/>
                <w:sz w:val="16"/>
                <w:szCs w:val="16"/>
              </w:rPr>
              <w:t xml:space="preserve">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w:t>
            </w:r>
            <w:r>
              <w:rPr>
                <w:rFonts w:ascii="Arial" w:cs="Arial" w:eastAsia="Arial" w:hAnsi="Arial"/>
                <w:color w:val="1A1A1A"/>
                <w:sz w:val="16"/>
                <w:szCs w:val="16"/>
                <w:shd w:fill="ECB100" w:color="auto" w:val="clear"/>
              </w:rPr>
              <w:t xml:space="preserve">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At CLP 3,555 the firm yields almost the same as its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w:t>
            </w:r>
            <w:r>
              <w:rPr>
                <w:rFonts w:ascii="Arial" w:cs="Arial" w:eastAsia="Arial" w:hAnsi="Arial"/>
                <w:color w:val="1A1A1A"/>
                <w:sz w:val="16"/>
                <w:szCs w:val="16"/>
                <w:shd w:fill="ECB100" w:color="auto" w:val="clear"/>
              </w:rPr>
              <w:t xml:space="preserve"> (comparable to a real rate, since rents are indexed)</w:t>
            </w:r>
            <w:r>
              <w:rPr>
                <w:rFonts w:ascii="Arial" w:cs="Arial" w:eastAsia="Arial" w:hAnsi="Arial"/>
                <w:color w:val="1A1A1A"/>
                <w:sz w:val="16"/>
                <w:szCs w:val="16"/>
              </w:rPr>
              <w:t xml:space="preserve">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Macro explains the difference. At 30-Jun-26 Brazil had </w:t>
            </w:r>
            <w:r>
              <w:rPr>
                <w:rFonts w:ascii="Arial" w:cs="Arial" w:eastAsia="Arial" w:hAnsi="Arial"/>
                <w:color w:val="1A1A1A"/>
                <w:sz w:val="16"/>
                <w:szCs w:val="16"/>
                <w:shd w:fill="ECB100" w:color="auto" w:val="clear"/>
              </w:rPr>
              <w:t xml:space="preserve">a 14.25% nominal Selic</w:t>
            </w:r>
            <w:r>
              <w:rPr>
                <w:rFonts w:ascii="Arial" w:cs="Arial" w:eastAsia="Arial" w:hAnsi="Arial"/>
                <w:color w:val="1A1A1A"/>
                <w:sz w:val="16"/>
                <w:szCs w:val="16"/>
              </w:rPr>
              <w:t xml:space="preserve">, a 14.34% nominal 10-year bond and 5.3% expected 2026 inflation, against </w:t>
            </w:r>
            <w:r>
              <w:rPr>
                <w:rFonts w:ascii="Arial" w:cs="Arial" w:eastAsia="Arial" w:hAnsi="Arial"/>
                <w:color w:val="1A1A1A"/>
                <w:sz w:val="16"/>
                <w:szCs w:val="16"/>
                <w:shd w:fill="ECB100" w:color="auto" w:val="clear"/>
              </w:rPr>
              <w:t xml:space="preserve">a 4.5% nominal policy rate</w:t>
            </w:r>
            <w:r>
              <w:rPr>
                <w:rFonts w:ascii="Arial" w:cs="Arial" w:eastAsia="Arial" w:hAnsi="Arial"/>
                <w:color w:val="1A1A1A"/>
                <w:sz w:val="16"/>
                <w:szCs w:val="16"/>
              </w:rPr>
              <w:t xml:space="preserve">, a 5.43% nominal bond and 4.1% inflation in Chile, with similar </w:t>
            </w:r>
            <w:r>
              <w:rPr>
                <w:rFonts w:ascii="Arial" w:cs="Arial" w:eastAsia="Arial" w:hAnsi="Arial"/>
                <w:color w:val="1A1A1A"/>
                <w:sz w:val="16"/>
                <w:szCs w:val="16"/>
                <w:shd w:fill="ECB100" w:color="auto" w:val="clear"/>
              </w:rPr>
              <w:t xml:space="preserve">real GDP</w:t>
            </w:r>
            <w:r>
              <w:rPr>
                <w:rFonts w:ascii="Arial" w:cs="Arial" w:eastAsia="Arial" w:hAnsi="Arial"/>
                <w:color w:val="1A1A1A"/>
                <w:sz w:val="16"/>
                <w:szCs w:val="16"/>
              </w:rPr>
              <w:t xml:space="preserve">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33). The market pays 1.61x an equity base already at fair value, appraised at a ~5.55% real rate (Note 11): it pays more than the appraisers themselves. To justify CLP 3,555, the </w:t>
            </w:r>
            <w:r>
              <w:rPr>
                <w:rFonts w:ascii="Arial" w:cs="Arial" w:eastAsia="Arial" w:hAnsi="Arial"/>
                <w:color w:val="1A1A1A"/>
                <w:sz w:val="16"/>
                <w:szCs w:val="16"/>
                <w:shd w:fill="ECB100" w:color="auto" w:val="clear"/>
              </w:rPr>
              <w:t xml:space="preserve">nominal WACC would have to be 285 bp lower (7.56%; </w:t>
            </w:r>
            <w:r>
              <w:rPr>
                <w:rFonts w:ascii="Arial" w:cs="Arial" w:eastAsia="Arial" w:hAnsi="Arial"/>
                <w:color w:val="1A1A1A"/>
                <w:sz w:val="16"/>
                <w:szCs w:val="16"/>
              </w:rPr>
              <w:t xml:space="preserve">Figure 34); even at the appraisers' rate</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the DCF would be CLP 2,660.</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pushed the thesis to its extremes. In a bear case (</w:t>
            </w:r>
            <w:r>
              <w:rPr>
                <w:rFonts w:ascii="Arial" w:cs="Arial" w:eastAsia="Arial" w:hAnsi="Arial"/>
                <w:color w:val="1A1A1A"/>
                <w:sz w:val="16"/>
                <w:szCs w:val="16"/>
                <w:shd w:fill="ECB100" w:color="auto" w:val="clear"/>
              </w:rPr>
              <w:t xml:space="preserve">nominal WACC +100 bp</w:t>
            </w:r>
            <w:r>
              <w:rPr>
                <w:rFonts w:ascii="Arial" w:cs="Arial" w:eastAsia="Arial" w:hAnsi="Arial"/>
                <w:color w:val="1A1A1A"/>
                <w:sz w:val="16"/>
                <w:szCs w:val="16"/>
              </w:rPr>
              <w:t xml:space="preserve"> and the 75.8% quarterly-low margin) the target falls to CLP 1,713; in a bull case combining </w:t>
            </w:r>
            <w:r>
              <w:rPr>
                <w:rFonts w:ascii="Arial" w:cs="Arial" w:eastAsia="Arial" w:hAnsi="Arial"/>
                <w:color w:val="1A1A1A"/>
                <w:sz w:val="16"/>
                <w:szCs w:val="16"/>
                <w:shd w:fill="ECB100" w:color="auto" w:val="clear"/>
              </w:rPr>
              <w:t xml:space="preserve">nominal WACC −100 bp, nominal g of 2.5%</w:t>
            </w:r>
            <w:r>
              <w:rPr>
                <w:rFonts w:ascii="Arial" w:cs="Arial" w:eastAsia="Arial" w:hAnsi="Arial"/>
                <w:color w:val="1A1A1A"/>
                <w:sz w:val="16"/>
                <w:szCs w:val="16"/>
              </w:rPr>
              <w:t xml:space="preserve">, the 81.3% quarterly-peak margin and the cut in corporate tax to 23%, it rises to CLP 2,627, still 26% below the price. APV (CLP 1,894), a peso-bond Rf (~CLP 2,439) and other debt targets (DCF of CLP 1,819 to 1,894) lead to the same conclusion (Appendix [F]). </w:t>
            </w:r>
            <w:r>
              <w:rPr>
                <w:rFonts w:ascii="Arial" w:cs="Arial" w:eastAsia="Arial" w:hAnsi="Arial"/>
                <w:color w:val="1A1A1A"/>
                <w:sz w:val="16"/>
                <w:szCs w:val="16"/>
                <w:shd w:fill="ECB100" w:color="auto" w:val="clear"/>
              </w:rPr>
              <w:t xml:space="preserve">The firm's IRR at the market price barely moves across scenarios (7.3%, 7.6% and 7.9% nominal in bear, base and bull; 4.2%, 4.4% and 4.7% real) and always stays below each one's WACC (409, 284 and 152 bp nominal): even the bull case leaves no margin of safety.</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w:t>
            </w:r>
            <w:r>
              <w:rPr>
                <w:rFonts w:ascii="Arial" w:cs="Arial" w:eastAsia="Arial" w:hAnsi="Arial"/>
                <w:color w:val="1A1A1A"/>
                <w:sz w:val="16"/>
                <w:szCs w:val="16"/>
                <w:shd w:fill="ECB100" w:color="auto" w:val="clear"/>
              </w:rPr>
              <w:t xml:space="preserve">the nominal peso bond (5.43%)</w:t>
            </w:r>
            <w:r>
              <w:rPr>
                <w:rFonts w:ascii="Arial" w:cs="Arial" w:eastAsia="Arial" w:hAnsi="Arial"/>
                <w:color w:val="1A1A1A"/>
                <w:sz w:val="16"/>
                <w:szCs w:val="16"/>
              </w:rPr>
              <w:t xml:space="preserve">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w:t>
            </w:r>
            <w:r>
              <w:rPr>
                <w:rFonts w:ascii="Arial" w:cs="Arial" w:eastAsia="Arial" w:hAnsi="Arial"/>
                <w:color w:val="1A1A1A"/>
                <w:sz w:val="16"/>
                <w:szCs w:val="16"/>
                <w:shd w:fill="ECB100" w:color="auto" w:val="clear"/>
              </w:rPr>
              <w:t xml:space="preserve">nominal 10Y UST</w:t>
            </w:r>
            <w:r>
              <w:rPr>
                <w:rFonts w:ascii="Arial" w:cs="Arial" w:eastAsia="Arial" w:hAnsi="Arial"/>
                <w:color w:val="1A1A1A"/>
                <w:sz w:val="16"/>
                <w:szCs w:val="16"/>
              </w:rPr>
              <w:t xml:space="preserve">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w:t>
            </w:r>
            <w:r>
              <w:rPr>
                <w:rFonts w:ascii="Arial" w:cs="Arial" w:eastAsia="Arial" w:hAnsi="Arial"/>
                <w:color w:val="1A1A1A"/>
                <w:sz w:val="16"/>
                <w:szCs w:val="16"/>
                <w:shd w:fill="ECB100" w:color="auto" w:val="clear"/>
              </w:rPr>
              <w:t xml:space="preserve">3.6% real coupon</w:t>
            </w:r>
            <w:r>
              <w:rPr>
                <w:rFonts w:ascii="Arial" w:cs="Arial" w:eastAsia="Arial" w:hAnsi="Arial"/>
                <w:color w:val="1A1A1A"/>
                <w:sz w:val="16"/>
                <w:szCs w:val="16"/>
              </w:rPr>
              <w:t xml:space="preserve"> (at the latest issue's </w:t>
            </w:r>
            <w:r>
              <w:rPr>
                <w:rFonts w:ascii="Arial" w:cs="Arial" w:eastAsia="Arial" w:hAnsi="Arial"/>
                <w:color w:val="1A1A1A"/>
                <w:sz w:val="16"/>
                <w:szCs w:val="16"/>
                <w:shd w:fill="ECB100" w:color="auto" w:val="clear"/>
              </w:rPr>
              <w:t xml:space="preserve">4.33% real effective rate</w:t>
            </w:r>
            <w:r>
              <w:rPr>
                <w:rFonts w:ascii="Arial" w:cs="Arial" w:eastAsia="Arial" w:hAnsi="Arial"/>
                <w:color w:val="1A1A1A"/>
                <w:sz w:val="16"/>
                <w:szCs w:val="16"/>
              </w:rPr>
              <w:t xml:space="preserve">, the </w:t>
            </w:r>
            <w:r>
              <w:rPr>
                <w:rFonts w:ascii="Arial" w:cs="Arial" w:eastAsia="Arial" w:hAnsi="Arial"/>
                <w:color w:val="1A1A1A"/>
                <w:sz w:val="16"/>
                <w:szCs w:val="16"/>
                <w:shd w:fill="ECB100" w:color="auto" w:val="clear"/>
              </w:rPr>
              <w:t xml:space="preserve">nominal WACC would rise 12 bp</w:t>
            </w:r>
            <w:r>
              <w:rPr>
                <w:rFonts w:ascii="Arial" w:cs="Arial" w:eastAsia="Arial" w:hAnsi="Arial"/>
                <w:color w:val="1A1A1A"/>
                <w:sz w:val="16"/>
                <w:szCs w:val="16"/>
              </w:rPr>
              <w:t xml:space="preserve">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The price requires a nominal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a98ec5db30a9b2fae58f506a01267ad00c0545c0.png"/><Relationship Id="rId12" Type="http://schemas.openxmlformats.org/officeDocument/2006/relationships/image" Target="media/8328ba562cddad3f672e3301050fb517a3b5f8aa.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2026-10-17T15:54:02.817Z</dcterms:created>
  <dcterms:modified xsi:type="dcterms:W3CDTF">2026-10-17T15:54:02.817Z</dcterms:modified>
</cp:coreProperties>
</file>

<file path=docProps/custom.xml><?xml version="1.0" encoding="utf-8"?>
<Properties xmlns="http://schemas.openxmlformats.org/officeDocument/2006/custom-properties" xmlns:vt="http://schemas.openxmlformats.org/officeDocument/2006/docPropsVTypes"/>
</file>