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BUSINESS DESCRIPTION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65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WHO WE ARE AND WHAT WE DO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0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company overview, history and listing.]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BUSINESS MODEL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1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fixed and variable rents, parking and services.]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GEOGRAPHIC FOOTPRINT AND ASSET MIX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2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portfolio by country, GLA and asset type.]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KEY GROWTH DRIVERS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3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pipeline, expansions and acquisitions.]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CORPORATE STRUCTURE AND GOVERNANCE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4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controlling shareholder and corporate structure.]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0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GLA and revenue by country]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520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06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0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Style w:val="Heading1"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INDUSTRY OVERVIEW AND COMPETITIVE POSITIONING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65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INDUSTRY OVERVIEW (RETAIL AND SHOPPING MALLS)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8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structure of the retail and mall industry in Chile, Peru and Colombia.]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MARKET SIZE AND GROWTH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9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market size, growth and penetration.]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1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Retail sales growth by country]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520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11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1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216"/>
        <w:gridCol w:w="6900"/>
      </w:tblGrid>
      <w:tr>
        <w:trPr>
          <w:trHeight w:val="14560" w:hRule="atLeast"/>
        </w:trPr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3: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1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Porter's five forces]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14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1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4: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1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Peer comparison: occupancy and rent]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17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1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5: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1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Market share by operator]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20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2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COMPETITIVE DYNAMICS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2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main competitors and recent moves.]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PORTER'S FIVE FORCES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3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assessment of each force and its intensity.]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MALLPLAZA'S COMPETITIVE POSITION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4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advantages versus peers (location, scale, mix).]</w:t>
                </w:r>
              </w:p>
            </w:sdtContent>
          </w:sdt>
        </w:tc>
      </w:tr>
    </w:tbl>
    <w:p>
      <w:pPr>
        <w:pageBreakBefore/>
        <w:spacing w:after="0" w:before="0" w:line="20" w:lineRule="exact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69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BARRIERS TO ENTRY AND BARGAINING POWER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5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land, permits, capital, and tenant and supplier power.]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INDUSTRY OUTLOOK AND KEY TRENDS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6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e-commerce, mixed-use projects and consumption trends.]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6: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2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Industry outlook]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520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28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2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Style w:val="Heading1"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ESG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65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ENVIRONMENTAL MANAGEMENT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30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energy, emissions, water and certifications.]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SOCIAL IMPACT AND COMMUNITY RELATIONS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31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employees, tenants, visitors and communities.]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7: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3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Energy and emissions intensity]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520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33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34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216"/>
        <w:gridCol w:w="6900"/>
      </w:tblGrid>
      <w:tr>
        <w:trPr>
          <w:trHeight w:val="14560" w:hRule="atLeast"/>
        </w:trPr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8: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3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ESG scorecard]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36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3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9: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3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Board composition]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39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4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10: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4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Materiality matrix]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42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4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CORPORATE GOVERNANCE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4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board, independence, related parties and incentives.]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REGULATORY COMPLIANCE AND STANDARDS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5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regulation and reporting standards that apply.]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ESG RISKS AND OPPORTUNITIES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6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material ESG issues and their link to value.]</w:t>
                </w:r>
              </w:p>
            </w:sdtContent>
          </w:sdt>
        </w:tc>
      </w:tr>
    </w:tbl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FINANCIAL ANALYSIS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1410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HISTORICAL RESULTS AND TRENDS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7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revenue, EBITDA and FFO over time and what drove them.]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MARGIN AND PROFITABILITY ANALYSIS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8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EBITDA margin by country and profitability trends.]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CASH FLOW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9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operating cash flow, capex and dividends.]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11: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5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Revenue and EBITDA 2021–2025]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51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5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12: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5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EBITDA margin by country]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54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5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13: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5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FFO bridge]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57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5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216"/>
        <w:gridCol w:w="6900"/>
      </w:tblGrid>
      <w:tr>
        <w:trPr>
          <w:trHeight w:val="14560" w:hRule="atLeast"/>
        </w:trPr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14: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5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Debt maturity profile]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60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6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15: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6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Net debt/EBITDA and LTV]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63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64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16: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6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DuPont ROE decomposition]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66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6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CAPITAL STRUCTURE AND LIQUIDITY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68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net debt, maturities, UF exposure and liquidity.]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KEY RATIOS (ROIC, ROE, LEVERAGE)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69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ratio analysis and comparison with peers.]</w:t>
                </w:r>
              </w:p>
            </w:sdtContent>
          </w:sdt>
        </w:tc>
      </w:tr>
    </w:tbl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VALUATION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1410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VALUATION METHODOLOGY (DCF + COMPS)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70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methods used and their weighting.]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KEY ASSUMPTIONS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71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growth, margins, capex and terminal value.]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CASH FLOW PROJECTIONS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72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FCFF forecast 2026E–2031E.]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17: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7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Valuation summary (football field)]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74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7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18: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7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Key assumptions]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77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7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19: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7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FCFF 2026E–2031E]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80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8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216"/>
        <w:gridCol w:w="6900"/>
      </w:tblGrid>
      <w:tr>
        <w:trPr>
          <w:trHeight w:val="14560" w:hRule="atLeast"/>
        </w:trPr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20: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8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WACC build-up]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83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84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21: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8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Scenario analysis]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86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8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22: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8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Target price vs. current price]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89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9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COST OF CAPITAL (WACC, KE)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91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risk-free rate, beta, ERP, country risk and cost of debt.]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SENSITIVITY AND SCENARIO ANALYSIS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92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bear, base and bull cases and their drivers.]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VALUE PER SHARE AND UPSIDE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93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value per share versus the current price.]</w:t>
                </w:r>
              </w:p>
            </w:sdtContent>
          </w:sdt>
        </w:tc>
      </w:tr>
    </w:tbl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INVESTMENT RISKS</w:t>
      </w:r>
    </w:p>
    <w:sdt>
      <w:sdtPr>
        <w:rPr>
          <w:rFonts w:ascii="Arial" w:hAnsi="Arial" w:cs="Arial"/>
          <w:color w:val="1A1A1A"/>
          <w:sz w:val="16"/>
          <w:szCs w:val="16"/>
        </w:rPr>
        <w:id w:val="1094"/>
        <w:showingPlcHdr/>
      </w:sdtPr>
      <w:sdtContent>
        <w:p>
          <w:pPr>
            <w:shd w:fill="EEF1F6" w:color="auto" w:val="clear"/>
            <w:spacing w:after="80" w:line="228"/>
          </w:pPr>
          <w:r>
            <w:rPr>
              <w:rFonts w:ascii="Arial" w:cs="Arial" w:eastAsia="Arial" w:hAnsi="Arial"/>
              <w:i/>
              <w:iCs/>
              <w:color w:val="808081"/>
              <w:sz w:val="16"/>
              <w:szCs w:val="16"/>
            </w:rPr>
            <w:t xml:space="preserve">[Summary: overall risk view for Mallplaza and the main risks to the recommendation and target price.]</w:t>
          </w:r>
        </w:p>
      </w:sdtContent>
    </w:sdt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136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RISK ASSESSMENT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95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[Explain how likelihood and impact were scored (1–5) in Figure 23 and which risks fall in the high-risk zone.]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OPERATIONAL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96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EBITDA margin compression.]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9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9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OR2: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99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slowdown in same-store rent growth.]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OR3: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102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higher maintenance capex.]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4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FINANCIAL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FR1: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105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revaluation of UF-indexed debt.]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FR2: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108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higher cost of capital.]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1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MARKET &amp; MACROECONOMIC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MR1: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111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FX exposure in Peru and Colombia.]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1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1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REGULATORY &amp; ESG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RR1: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114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related-party transactions.]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1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1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SENSITIVITY ANALYSIS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17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[Comment on Figures 24–26: which drivers move the value per share most, the downside versus the base case, and whether the recommendation holds.]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Risk matrix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2331983"/>
                  <wp:effectExtent t="0" r="0" b="0" l="0"/>
                  <wp:docPr id="1" name="fig1_matriz_riesgo.png" descr="fig1_matriz_riesgo.png" title="fig1_matriz_ries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233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Operational risk tornado (CLP per share)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2331983"/>
                  <wp:effectExtent t="0" r="0" b="0" l="0"/>
                  <wp:docPr id="1" name="fig2_tornado.png" descr="fig2_tornado.png" title="fig2_torn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233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25: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Value per share sensitivity: WACC vs g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1783281"/>
                  <wp:effectExtent t="0" r="0" b="0" l="0"/>
                  <wp:docPr id="1" name="fig3_heatmap.png" descr="fig3_heatmap.png" title="fig3_heat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178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26: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Earnings sensitivity to a rise in the UF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1554655"/>
                  <wp:effectExtent t="0" r="0" b="0" l="0"/>
                  <wp:docPr id="1" name="fig4_uf.png" descr="fig4_uf.png" title="fig4_u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155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INVESTMENT SUMMARY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216"/>
        <w:gridCol w:w="6900"/>
      </w:tblGrid>
      <w:tr>
        <w:trPr>
          <w:trHeight w:val="14100" w:hRule="atLeast"/>
        </w:trPr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KEY DATA</w:t>
            </w:r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single" w:color="D5D9E0" w:sz="4"/>
                <w:right w:val="none" w:color="FFFFFF" w:sz="0"/>
                <w:insideH w:val="single" w:color="D5D9E0" w:sz="4"/>
                <w:insideV w:val="none" w:color="FFFFFF" w:sz="0"/>
              </w:tblBorders>
            </w:tblPr>
            <w:tblGrid>
              <w:gridCol w:w="1750"/>
              <w:gridCol w:w="1800"/>
            </w:tblGrid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Recommendation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18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Target price (CLP)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19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Current price (CLP)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0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Upside / downside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1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Ticker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2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Market cap (CLP bn)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3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52-week range (CLP)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4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Dividend yield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5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</w:tbl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27: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12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Share price vs. IPSA]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7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12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28: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12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Valuation summary]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30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13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RECOMMENDATION AND TARGET PRICE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32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BUY / HOLD / SELL, target price, upside and time horizon.]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INVESTMENT THESIS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33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the two or three main reasons behind the recommendation.]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VALUATION SUMMARY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34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DCF and multiples result and how they support the target price.]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CATALYSTS AND DRIVERS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35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events or trends that could unlock value and their timing.]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KEY RISKS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36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the risks that could change the recommendation (see Investment Risks).]</w:t>
                </w:r>
              </w:p>
            </w:sdtContent>
          </w:sdt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000" w:right="620" w:bottom="900" w:left="620" w:header="450" w:footer="400" w:gutter="0"/>
          <w:pgNumType w:start="1"/>
          <w:docGrid w:linePitch="360"/>
        </w:sectPr>
      </w:pPr>
    </w:p>
    <w:p>
      <w:pPr>
        <w:pStyle w:val="Heading1"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1: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37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Income statement 2022A–2031E]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38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39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2: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40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Balance sheet]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41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42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3: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43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Cash flow statement]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44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45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4: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46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Forecast assumptions]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47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48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5: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49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DCF valuation detail]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50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51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6: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52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WACC calculation]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53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54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7: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55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Comparable companies]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56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57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8: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58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DuPont and key ratios]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59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60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9: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61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Sensitivity and scenario analysis]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62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63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10: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64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ESG scorecard and risk detail]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65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66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sectPr>
      <w:headerReference w:type="default" r:id="rId9"/>
      <w:footerReference w:type="default" r:id="rId10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4284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4284B"/>
      <w:sz w:val="16"/>
      <w:szCs w:val="1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c21b4553abc6a7bc2bffe30acda5e17ed53c0786.png"/><Relationship Id="rId12" Type="http://schemas.openxmlformats.org/officeDocument/2006/relationships/image" Target="media/de6d492575b8392d60c6facefb1abc2c79ef0eae.png"/><Relationship Id="rId13" Type="http://schemas.openxmlformats.org/officeDocument/2006/relationships/image" Target="media/70b2b3f1e475e59b034b6293cc0c43795c65442d.png"/><Relationship Id="rId14" Type="http://schemas.openxmlformats.org/officeDocument/2006/relationships/image" Target="media/9d31dd3e76b3dcb95aa175fdaea7bf1546522fc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2026-10-11T22:42:05.917Z</dcterms:created>
  <dcterms:modified xsi:type="dcterms:W3CDTF">2026-10-11T22:42:05.917Z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