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es una subida de tasas, de probabilidad alta, que eleva la WACC; le siguen la inflación y un menor dinamismo macro. Ningún riesgo analizado lleva el precio objetivo por sobre el precio actual.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ubica cada riesgo en una matriz 3x3 según su probabilidad y su impacto (bajo, medio, alto); el color de cada etiqueta indica su categoría. El impacto se mide por el efecto sobre el valor por acción, usando el tornado operacional (Figura 24), la sensibilidad a WACC y g (Figura 25) y el efecto del reajuste de la UF (Figura 26). El riesgo de tasas (FR1) ocupa la celda de mayor severidad (alta/alta) y el de inflación y ciclo macro (MR1) también queda en la zona roja; el cambiario (MR3) queda en el centro.</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6,7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(caso base) resta CLP 38.691 MM a la utilidad (Figura 26). Un menor consumo afecta las ventas de los locatarios y frena las nuevas líneas de negocio de Mallplaza (Anexo [X]). </w:t>
            </w:r>
            <w:r>
              <w:rPr>
                <w:rFonts w:ascii="Arial" w:cs="Arial" w:eastAsia="Arial" w:hAnsi="Arial"/>
                <w:i/>
                <w:iCs/>
                <w:color w:val="5F5F5F"/>
                <w:sz w:val="16"/>
                <w:szCs w:val="16"/>
              </w:rPr>
              <w:t xml:space="preserve">(Sistemático · Prob. alta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del PEN o del COP reduciría los ingresos y el EBITDA consolidados en pesos.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en el impuesto corporativo y en la permisología generan incertidumbre sobre el pipeline (USD 613 MM, 170.200 m² hasta 2028). Un retraso en permisos posterga ingresos, con sensibilidad acotada.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gobiernos pro mercado en los tres países (Kast, Fujimori, De La Espriella). La Ley 21.770 acorta los plazos de permisos y la Ley de Reconstrucción baja el impuesto corporativo de 27% a 23% en 2029 (el modelo usa 27%).</w:t>
            </w:r>
          </w:p>
          <w:p>
            <w:pPr>
              <w:pBdr>
                <w:bottom w:val="single" w:color="E9004B" w:sz="8" w:space="1"/>
              </w:pBdr>
              <w:spacing w:after="50" w:before="110"/>
            </w:pPr>
            <w:r>
              <w:rPr>
                <w:rFonts w:ascii="Arial" w:cs="Arial" w:eastAsia="Arial" w:hAnsi="Arial"/>
                <w:b/>
                <w:bCs/>
                <w:color w:val="14284B"/>
                <w:sz w:val="16"/>
                <w:szCs w:val="16"/>
              </w:rPr>
              <w:t xml:space="preserve">ANÁLISIS DE SENSIBILIDAD</w:t>
            </w:r>
          </w:p>
          <w:p>
            <w:pPr>
              <w:spacing w:after="40" w:before="0" w:line="228" w:lineRule="auto"/>
              <w:jc w:val="both"/>
            </w:pPr>
            <w:r>
              <w:rPr>
                <w:rFonts w:ascii="Arial" w:cs="Arial" w:eastAsia="Arial" w:hAnsi="Arial"/>
                <w:color w:val="1A1A1A"/>
                <w:sz w:val="16"/>
                <w:szCs w:val="16"/>
              </w:rPr>
              <w:t xml:space="preserve">El valor es más sensible a la tasa de descuento que a la operación: el peor caso operacional (margen EBITDA) resta 10,0% (Figura 24) y +100 pb de WACC restan 12,3% al precio objetivo (Figura 25). El precio actual implica un cap rate cercano a 6,0%, frente a 10,1% en el DCF: el mercado descuenta una tasa baja, lo que aumenta la exposición de la acción a un alza de tasas. Un g mayor resta valor: el RONIC (5,0%) es menor que la WACC real (7,2%). Hasta la mejor celda de la Figura 25 (CLP 2.487) queda bajo el precio (CLP 3.555): la recomendación se mantiene.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Fuente: análisis del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 la utilidad a un alza de la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sensibilidad reportada; +1% y +2% por extrapolación lineal. Fuente: EEFF de Mallplaza a jun-26, Nota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9ca80ed7a767a44dabd3aba248ba8c5e999c80.png"/><Relationship Id="rId10" Type="http://schemas.openxmlformats.org/officeDocument/2006/relationships/image" Target="media/33340e1a43ef1c6250facb750bae9a0d231c737d.png"/><Relationship Id="rId11" Type="http://schemas.openxmlformats.org/officeDocument/2006/relationships/image" Target="media/3b195aedeb9b0aceb09bd011239b02ffe7beb462.png"/><Relationship Id="rId12" Type="http://schemas.openxmlformats.org/officeDocument/2006/relationships/image" Target="media/504a8896705ded5280a811b587d5f9a20dada1c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2026-10-11T22:42:04.851Z</dcterms:created>
  <dcterms:modified xsi:type="dcterms:W3CDTF">2026-10-11T22:42:04.851Z</dcterms:modified>
</cp:coreProperties>
</file>

<file path=docProps/custom.xml><?xml version="1.0" encoding="utf-8"?>
<Properties xmlns="http://schemas.openxmlformats.org/officeDocument/2006/custom-properties" xmlns:vt="http://schemas.openxmlformats.org/officeDocument/2006/docPropsVTypes"/>
</file>