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 About two-thirds of Chile's 29% uplift came from a lower appraisal discount rate, not from higher NOI.</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the highest of the three local peers on a comparable basis (Appendix 6). FFO, which we rebuild from the statements to within 0.02% of the reported CLP 405bn (Figure 2),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1H26 reported growth of 7.4% falls to about 3.0% real (Figure 3).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spacing w:after="60" w:before="0" w:line="228" w:lineRule="auto"/>
              <w:jc w:val="both"/>
            </w:pPr>
            <w:r>
              <w:rPr>
                <w:rFonts w:ascii="Arial" w:cs="Arial" w:eastAsia="Arial" w:hAnsi="Arial"/>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operating leverage is spent</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spacing w:after="60" w:before="0" w:line="228" w:lineRule="auto"/>
              <w:jc w:val="both"/>
            </w:pPr>
            <w:r>
              <w:rPr>
                <w:rFonts w:ascii="Arial" w:cs="Arial" w:eastAsia="Arial" w:hAnsi="Arial"/>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1.1pp.</w:t>
            </w:r>
          </w:p>
          <w:p>
            <w:pPr>
              <w:spacing w:after="60" w:before="0" w:line="228" w:lineRule="auto"/>
              <w:jc w:val="both"/>
            </w:pPr>
            <w:r>
              <w:rPr>
                <w:rFonts w:ascii="Arial" w:cs="Arial" w:eastAsia="Arial" w:hAnsi="Arial"/>
                <w:color w:val="1A1A1A"/>
                <w:sz w:val="16"/>
                <w:szCs w:val="16"/>
              </w:rPr>
              <w:t xml:space="preserve">Operating costs have already fallen from 23.8% of revenue in 2023 to 20.1% in 2025 (Appendix 3), so there is little left for the margin to gain: from here, EBITDA grows with rents, not with efficiency.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the ceiling is policy, not liquidity</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4).</w:t>
            </w:r>
          </w:p>
          <w:p>
            <w:pPr>
              <w:spacing w:after="60" w:before="0" w:line="228" w:lineRule="auto"/>
              <w:jc w:val="both"/>
            </w:pPr>
            <w:r>
              <w:rPr>
                <w:rFonts w:ascii="Arial" w:cs="Arial" w:eastAsia="Arial" w:hAnsi="Arial"/>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5).</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7).</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5). Cash-flow metrics are the honest lens and support Feller Rate's upgrade to AAA (25 September 2026): net debt/EBITDA fell from 3.78x to 2.36x on June 2026 LTM EBITDA (the 2024 figure includes only one month of Peru), and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6); refinancing series S (1.32% effective) at the latest issue's 4.33% would add about CLP 4.9bn a year. Liquidity is ample: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5). At 3.5x the new AAA would likely come under pressure.</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2). Against peers the balance sheet is conservative: LTV of 18.8% versus 42.9% at Parque Arauco and 16.3% at Cencosud Shopping, and net debt/EBITDA of 2.49x versus 5.68x and 2.11x (Appendix 6).</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7);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1). New GLA yields 6.9% on cost, a 5.0%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4), and distributable profit as the anchor, not the CLP 1,431bn accounting profit. Second, business quality is not in doubt: Mallplaza earns the highest normalized ROE of its local peers (9.7% against 7.8% at Parque Arauco and 8.0% at Cencosud Shopping) with an LTV of only 18.8% (Appendix 6).</w:t>
            </w:r>
          </w:p>
          <w:p>
            <w:pPr>
              <w:spacing w:after="60" w:before="0" w:line="228" w:lineRule="auto"/>
              <w:jc w:val="both"/>
            </w:pPr>
            <w:r>
              <w:rPr>
                <w:rFonts w:ascii="Arial" w:cs="Arial" w:eastAsia="Arial" w:hAnsi="Arial"/>
                <w:color w:val="1A1A1A"/>
                <w:sz w:val="16"/>
                <w:szCs w:val="16"/>
              </w:rPr>
              <w:t xml:space="preserve">Third, the return on capital at fair value is low. 2025 ROIC, with NOPAT at 27% over invested capital at appraised value, was 7.3% (Appendix 3),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After the pipeline, expansion keeps capex near CLP 150bn a year while leverage rebuilds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spent in 1H26; 2024A leverage includes one month of Peru EBITDA. Source: Plaza S.A. financial statements (CMF); 2Q26 results release (pipeline); valuation base case (Appendices 1 and 5).</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cf5efedec970dddabf7ad7f0397fa946dde7af.png"/><Relationship Id="rId10" Type="http://schemas.openxmlformats.org/officeDocument/2006/relationships/image" Target="media/67d3af205c0720abae927a295402b8173067a71d.png"/><Relationship Id="rId11" Type="http://schemas.openxmlformats.org/officeDocument/2006/relationships/image" Target="media/0ecdedf336d9450fef0f4340e7d2f3445bf5d5ea.png"/><Relationship Id="rId12" Type="http://schemas.openxmlformats.org/officeDocument/2006/relationships/image" Target="media/0e8de6046ea8cf465c51ece1e2db1d0fdb7f5b9e.png"/><Relationship Id="rId13" Type="http://schemas.openxmlformats.org/officeDocument/2006/relationships/image" Target="media/fbaa45cc822c3cf6d5ceb7547cdd01441f6bb8f4.png"/><Relationship Id="rId14" Type="http://schemas.openxmlformats.org/officeDocument/2006/relationships/image" Target="media/100e719272ccd251c35d82999c2cbfdfab008b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2026-10-14T14:31:54.329Z</dcterms:created>
  <dcterms:modified xsi:type="dcterms:W3CDTF">2026-10-14T14:31:54.329Z</dcterms:modified>
</cp:coreProperties>
</file>

<file path=docProps/custom.xml><?xml version="1.0" encoding="utf-8"?>
<Properties xmlns="http://schemas.openxmlformats.org/officeDocument/2006/custom-properties" xmlns:vt="http://schemas.openxmlformats.org/officeDocument/2006/docPropsVTypes"/>
</file>