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AMBIENTAL, SOCIAL Y GOBIERNO CORPORATIVO (ESG)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enfoque ESG de Plaza es transversal a todas sus decisiones: busca desarrollar su modelo de negocios respetando los parámetros ESG y contribuir a un desarrollo sostenible, lo que además le abre beneficios financieros externos y de su propia operación. Bloomberg califica a la compañía con 3,39 puntos (Figura E1), bajo la media de la industria a nivel global (5–6 puntos) y de su competencia directa en Chile; esto contrasta con su perfil “verde” local, donde figura entre las principales empresas inmobiliarias (REM) de la región.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Beneficios financieros potenciales: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sistema de gestión de la energía (SGE) certificado bajo la ISO 50001 mejora el desempeño energético y reduce los costos operativos. Los beneficios externos dependen de su imagen ESG: en Chile, la Ley I+D (CORFO) permite descontar del impuesto de primera categoría el 35% de lo invertido en investigación y desarrollo (hasta 52,55% del total, sumando el gasto); en Perú, el reconocimiento de “Huella Perú” (2 de 4 estrellas) facilita la obtención de permisos y licencias; y en Colombia, la Ley 2099 de 2021 permite descontar de la renta las inversiones en control, conservación y mejoramiento del medio ambiente.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AMBIENTAL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enfoque de Plaza es una gestión operativa eficiente, sustentable y circular, con tres focos estratégicos: eficiencia energética e hídrica, huella de carbono y gestión de residuos. Su principal objetivo es la carbono neutralidad, con la meta de ser Net Zero en emisiones directas e indirectas al 2035 (65,6% de avance en 2025).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Índices de sostenibilidad: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compañía está en el DJSI Chile y el DJSI MILA, y es la única empresa inmobiliaria (REM) de Sudamérica en el MSCI ESG, con clasificación “BBB”, lo que le da exposición a ETFs. Además, forma parte del S&amp;P Global Sustainability Yearbook y Morningstar Sustainalytics le asigna un riesgo ESG de 14,4 (bajo) (Figura E1).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Energía: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es reducir 22% la intensidad energética del gasto común al 2035 (35,5% de avance) y abastecerse con 100% de electricidad renovable al 2026 (89,3% de avance) (Figura E2). En 2025 la energía renovable representó el 90,9% del consumo total de 373.860 MWh (Figura E3), con una intensidad de 0,16 MWh/m² de GLA (0,14 renovable y 0,014 no renovable).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Agua: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reducir 30% el consumo directo de agua al 2025 se cumplió en 100,9%, apoyada por las certificaciones LEED y EDGE. En 2025 la intensidad fue de 0,77 m³/m² de GLA.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HCFC: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busca eliminar el 100% de su uso al 2030 (14,9% de avance), clave para la gestión de emisiones de gases de efecto invernadero, ámbito en el que Bloomberg reconoce a Plaza como líder de la industria global.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valorizar el 60% de los residuos al 2025 registra un avance de 94,8%; además, busca desviar de los vertederos el 75% de los residuos sólidos al 2027 y ya eliminó el 97% de los plásticos de un solo uso de la operación. En 2025 valorizó el 46,2% de sus residuos no peligrosos (Figura E3).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Gestión climática: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Plaza adopta las recomendaciones TCFD para integrar los riesgos físicos y de transición, realiza un due diligence ambiental en la adquisición de activos y opera bajo un programa de cumplimiento ambiental alineado con la ISO 14001, monitoreado por el comité de sustentabilidad.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aborda el ámbito social con un modelo de relación ética de largo plazo, basado en la creación de valor compartido, que pone a sus grupos de interés en el centro de su estrategia, alineado con la ISO 45001 y las directrices de la OIT. En 2025 incorporó un programa de detección y respuesta ante riesgos de su política de derechos humanos. Gestiona a sus grupos de interés con mecanismos como diálogos comunitarios y evaluaciones de materialidad (Anexo [Y]) y atiende cualquier incidencia social a través de su canal de integridad. Cadem la ubicó en el puesto 31 de 365 “Marcas Ciudadanas” y ganadora de la categoría Centros Comerciales (2026). En 2025 sus programas y proyectos impactaron positivamente a 49.325 personas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Colaboradores y proveedores: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capacita a sus trabajadores, ofrece programas para quienes se acercan a la jubilación y evalúa a sus proveedores con criterios de sostenibilidad (55,3% de los proveedores locales y 38,4% de los extranjeros).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Arrendatarios: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gestiona la relación con sus locatarios mediante un modelo de relacionamiento centrado en la propuesta de valor y la experiencia; el NPS pasó de −8% en 2022 a 13% en 2025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Seguridad y privacidad: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cada centro cuenta con manuales de emergencia adaptados a su contexto geográfico y en 2025 realizó 52 simulacros con la comunidad. Implementó la ISO/IEC 27001 para proteger la confidencialidad, integridad y disponibilidad de la información ante riesgos cibernéticos.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Diversidad: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las mujeres representan el 53% de la fuerza laboral (403 personas) y el 42% de los cargos directivos (44), con una brecha salarial media de 28% a nivel regional. La meta al 2028 es que el 60% de los centros esté certificado como espacio inclusivo, y Plaza obtuvo el “Sello Mayor”, que certifica su adaptación física y operacional para personas mayores.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Puntaje ESG de Bloomberg y ratings externos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Bloomberg (puntaje ESG); MSCI, Morningstar Sustainalytics, S&amp;P Global, Huella Perú;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Metas ambientales: avance a 2025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Energía renovable y valorización de residuos, 2025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Valorización: porcentaje sobre los residuos no peligrosos; el desglose suma 100% de lo valorizado. 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Indicadores sociales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NPS = % de promotores (notas 9–10) menos % de detractores (0–6). Fuente: Memoria Mallplaza 2025.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GOBIERNO CORPORATIVO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gobierno corporativo se rige por los principios del G20 y de la OCDE, alineado con la NCG 461 de la CMF, para asegurar una gestión transparente, con control de riesgos y una estructura sólida que dé seguimiento a la estrategia y a los compromisos ESG.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Directorio y comités: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Directorio, de 9 miembros, define los objetivos, estrategias y políticas de Plaza, pero solo uno es independiente (Figura E5). El comité de directores, de tres miembros y presidido por el director independiente, revisa las operaciones con partes relacionadas (Ley 18.046). Falabella controla el 53,05% de la propiedad y los fondos de pensiones suman 23,8% (Anexo [Y]). La baja independencia del Directorio es el principal punto débil de gobierno (RR1, Investment Risks).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Incentivos ESG: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los KPIs ESG se miden anualmente y forman parte de la remuneración variable del Gerente General, gerentes y subgerentes. Los indicadores no financieros pesan 61% (33,3% vinculado directamente a materias ESG y 27,7% a otros temas) y los financieros 39% (Figura E5).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Ética y cumplimiento: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en 2025 no registró incumplimientos de la legislación ni casos de corrupción. Registró 27 incumplimientos de derechos del consumidor (Ley 19.496), 2 de derechos laborales, 1 procedimiento de la Superintendencia del Medio Ambiente y 8 denuncias de acoso o violencia en el trabajo (Anexo [Y]).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Incentivos ESG y composición del Directorio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d411ba3c606390f872c40f1b4caf70649f76480.png"/><Relationship Id="rId10" Type="http://schemas.openxmlformats.org/officeDocument/2006/relationships/image" Target="media/bb229cbba7c93bbcdce30a13122f93af2ad5370c.png"/><Relationship Id="rId11" Type="http://schemas.openxmlformats.org/officeDocument/2006/relationships/image" Target="media/8fe419fd582c8d631f848117014dd8fdfe47e661.png"/><Relationship Id="rId12" Type="http://schemas.openxmlformats.org/officeDocument/2006/relationships/image" Target="media/4bc2b50fc361b46958993af72b6fed0f46eec7a4.png"/><Relationship Id="rId13" Type="http://schemas.openxmlformats.org/officeDocument/2006/relationships/image" Target="media/b0111e7433e81502552964a66525843934b6bb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2026-10-14T14:31:55.448Z</dcterms:created>
  <dcterms:modified xsi:type="dcterms:W3CDTF">2026-10-14T14:31:55.449Z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