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APPENDIX [X]: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A1: </w:t>
      </w:r>
      <w:r>
        <w:rPr>
          <w:rFonts w:ascii="Arial" w:cs="Arial" w:eastAsia="Arial" w:hAnsi="Arial"/>
          <w:color w:val="14284B"/>
          <w:sz w:val="14"/>
          <w:szCs w:val="14"/>
        </w:rPr>
        <w:t xml:space="preserve">Transmission map: from global shocks to Mallplaza's risks</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24–26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A2: </w:t>
            </w:r>
            <w:r>
              <w:rPr>
                <w:rFonts w:ascii="Arial" w:cs="Arial" w:eastAsia="Arial" w:hAnsi="Arial"/>
                <w:color w:val="14284B"/>
                <w:sz w:val="14"/>
                <w:szCs w:val="14"/>
              </w:rPr>
              <w:t xml:space="preserve">Brent crude oil price, 2022–2026 (USD/barrel)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A3: </w:t>
            </w:r>
            <w:r>
              <w:rPr>
                <w:rFonts w:ascii="Arial" w:cs="Arial" w:eastAsia="Arial" w:hAnsi="Arial"/>
                <w:color w:val="14284B"/>
                <w:sz w:val="14"/>
                <w:szCs w:val="14"/>
              </w:rPr>
              <w:t xml:space="preserve">10-year sovereign yields,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A4: </w:t>
            </w:r>
            <w:r>
              <w:rPr>
                <w:rFonts w:ascii="Arial" w:cs="Arial" w:eastAsia="Arial" w:hAnsi="Arial"/>
                <w:color w:val="14284B"/>
                <w:sz w:val="14"/>
                <w:szCs w:val="14"/>
              </w:rPr>
              <w:t xml:space="preserve">10-year spreads: France–Germany and Chile–US (bp)</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A3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A5: </w:t>
            </w:r>
            <w:r>
              <w:rPr>
                <w:rFonts w:ascii="Arial" w:cs="Arial" w:eastAsia="Arial" w:hAnsi="Arial"/>
                <w:color w:val="14284B"/>
                <w:sz w:val="14"/>
                <w:szCs w:val="14"/>
              </w:rPr>
              <w:t xml:space="preserve">World growth and inflation,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A6: </w:t>
            </w:r>
            <w:r>
              <w:rPr>
                <w:rFonts w:ascii="Arial" w:cs="Arial" w:eastAsia="Arial" w:hAnsi="Arial"/>
                <w:color w:val="14284B"/>
                <w:sz w:val="14"/>
                <w:szCs w:val="14"/>
              </w:rPr>
              <w:t xml:space="preserve">Chile: GDP, inflation and policy rate,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2,076 to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a01b45d6be15873163d7f4df2b5d1388d71092.png"/><Relationship Id="rId10" Type="http://schemas.openxmlformats.org/officeDocument/2006/relationships/image" Target="media/74b785ab5dc6ff2d7a2669dbff7ca479845d79c7.png"/><Relationship Id="rId11" Type="http://schemas.openxmlformats.org/officeDocument/2006/relationships/image" Target="media/cad639ca5e0bdcd7eee0898b91cc8274ca418bf7.png"/><Relationship Id="rId12" Type="http://schemas.openxmlformats.org/officeDocument/2006/relationships/image" Target="media/b75d7c57b9f5e0f71be8fa7975bc23b67c6f4a4a.png"/><Relationship Id="rId13" Type="http://schemas.openxmlformats.org/officeDocument/2006/relationships/image" Target="media/7640993cad1d25805eb3ec4b6d40d373df297a1b.png"/><Relationship Id="rId14" Type="http://schemas.openxmlformats.org/officeDocument/2006/relationships/image" Target="media/097d9e68442f8586148a911de890f9b42b249cf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2026-10-14T14:31:56.687Z</dcterms:created>
  <dcterms:modified xsi:type="dcterms:W3CDTF">2026-10-14T14:31:56.687Z</dcterms:modified>
</cp:coreProperties>
</file>

<file path=docProps/custom.xml><?xml version="1.0" encoding="utf-8"?>
<Properties xmlns="http://schemas.openxmlformats.org/officeDocument/2006/custom-properties" xmlns:vt="http://schemas.openxmlformats.org/officeDocument/2006/docPropsVTypes"/>
</file>