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BUSINESS DESCRIPTION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WHO WE ARE AND WHAT WE DO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company overview, history and listing.]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BUSINESS MODEL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fixed and variable rents, parking and services.]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GEOGRAPHIC FOOTPRINT AND ASSET MIX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portfolio by country, GLA and asset type.]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GROWTH DRIVERS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pipeline, expansions and acquisitions.]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CORPORATE STRUCTURE AND GOVERNANCE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controlling shareholder and corporate structure.]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0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GLA and revenue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0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INDUSTRY OVERVIEW AND COMPETITIVE POSITIONING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INDUSTRY OVERVIEW (RETAIL AND SHOPPING MALLS)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structure of the retail and mall industry in Chile, Peru and Colombia.]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SIZE AND GROWTH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market size, growth and penetration.]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Retail sales growth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1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Porter's five forces]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4: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Peer comparison: occupancy and rent]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1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1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5: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1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Market share by operator]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2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2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COMPETITIVE DYNAMICS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main competitors and recent moves.]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PORTER'S FIVE FORCES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assessment of each force and its intensity.]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MALLPLAZA'S COMPETITIVE POSITION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advantages versus peers (location, scale, mix).]</w:t>
                </w:r>
              </w:p>
            </w:sdtContent>
          </w:sdt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9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BARRIERS TO ENTRY AND BARGAINING POWER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land, permits, capital, and tenant and supplier power.]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INDUSTRY OUTLOOK AND KEY TRENDS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e-commerce, mixed-use projects and consumption trends.]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6: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2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Industry outlook]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28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2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ESG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65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ENVIRONMENTAL MANAGEMENT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3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energy, emissions, water and certifications.]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SOCIAL IMPACT AND COMMUNITY RELATIONS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3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employees, tenants, visitors and communities.]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Energy and emissions intensity]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520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3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ESG scorecard]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3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9: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3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Board composition]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39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4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10: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4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Materiality matrix]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42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4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CORPORATE GOVERNANCE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board, independence, related parties and incentives.]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COMPLIANCE AND STANDARDS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regulation and reporting standards that apply.]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ESG RISKS AND OPPORTUNITIES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material ESG issues and their link to value.]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FINANCIAL ANALYSIS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410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HISTORICAL RESULTS AND TRENDS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7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revenue, EBITDA and FFO over time and what drove them.]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MARGIN AND PROFITABILITY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EBITDA margin by country and profitability trends.]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 FLOW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4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operating cash flow, capex and dividends.]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Revenue and EBITDA 2021–2025]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1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EBITDA margin by country]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13: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FFO bridge]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5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5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14: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5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Debt maturity profile]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15: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6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Net debt/EBITDA and LTV]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16: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6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DuPont ROE decomposition]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6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6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CAPITAL STRUCTURE AND LIQUIDITY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68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net debt, maturities, UF exposure and liquidity.]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RATIOS (ROIC, ROE, LEVERAGE)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69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ratio analysis and comparison with peers.]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VALUATION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410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VALUATION METHODOLOGY (DCF + COMPS)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0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methods used and their weighting.]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ASSUMPTIONS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growth, margins, capex and terminal value.]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 FLOW PROJECTIONS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7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FCFF forecast 2026E–2031E.]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Valuation summary (football field)]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74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7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Key assumptions]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7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7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19: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7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FCFF 2026E–2031E]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56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20: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WACC build-up]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3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21: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Scenario analysis]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6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8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22: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08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Target price vs. current price]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089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09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COST OF CAPITAL (WACC, KE)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risk-free rate, beta, ERP, country risk and cost of debt.]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AND SCENARIO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bear, base and bull cases and their drivers.]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VALUE PER SHARE AND UPSIDE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value per share versus the current price.]</w:t>
                </w:r>
              </w:p>
            </w:sdtContent>
          </w:sdt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RISKS</w:t>
      </w:r>
    </w:p>
    <w:sdt>
      <w:sdtPr>
        <w:rPr>
          <w:rFonts w:ascii="Arial" w:hAnsi="Arial" w:cs="Arial"/>
          <w:color w:val="1A1A1A"/>
          <w:sz w:val="16"/>
          <w:szCs w:val="16"/>
        </w:rPr>
        <w:id w:val="1094"/>
        <w:showingPlcHdr/>
      </w:sdtPr>
      <w:sdtContent>
        <w:p>
          <w:pPr>
            <w:shd w:fill="EEF1F6" w:color="auto" w:val="clear"/>
            <w:spacing w:after="80" w:line="228"/>
          </w:pPr>
          <w:r>
            <w:rPr>
              <w:rFonts w:ascii="Arial" w:cs="Arial" w:eastAsia="Arial" w:hAnsi="Arial"/>
              <w:i/>
              <w:iCs/>
              <w:color w:val="808081"/>
              <w:sz w:val="16"/>
              <w:szCs w:val="16"/>
            </w:rPr>
            <w:t xml:space="preserve">[Summary: overall risk view for Mallplaza and the main risks to the recommendation and target price.]</w:t>
          </w:r>
        </w:p>
      </w:sdtContent>
    </w:sdt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36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RISK ASSESSMENT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9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[Explain how likelihood and impact were scored (1–5) in Figure 23 and which risks fall in the high-risk zone.]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OPERATIONAL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96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EBITDA margin compression.]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9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9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99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slowdown in same-store rent growth.]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OR3: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2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maintenance capex.]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FINANCIAL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5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revaluation of UF-indexed debt.]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08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cost of capital.]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0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&amp; MACROECONOMIC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MR1: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11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FX exposure in Peru and Colombia.]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&amp; ESG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RR1: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114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related-party transactions.]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23–26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1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17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[Comment on Figures 24–26: which drivers move the value per share most, the downside versus the base case, and whether the recommendation holds.]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Risk matrix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1_matriz_riesgo.png" descr="fig1_matriz_riesgo.png" title="fig1_matriz_ries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Operational risk tornado (CLP per share)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2_tornado.png" descr="fig2_tornado.png" title="fig2_torn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Value per share sensitivity: WACC vs g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783281"/>
                  <wp:effectExtent t="0" r="0" b="0" l="0"/>
                  <wp:docPr id="1" name="fig3_heatmap.png" descr="fig3_heatmap.png" title="fig3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78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Earnings sensitivity to a rise in the UF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554655"/>
                  <wp:effectExtent t="0" r="0" b="0" l="0"/>
                  <wp:docPr id="1" name="fig4_uf.png" descr="fig4_uf.png" title="fig4_u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5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SUMMARY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216"/>
        <w:gridCol w:w="6900"/>
      </w:tblGrid>
      <w:tr>
        <w:trPr>
          <w:trHeight w:val="14100" w:hRule="atLeast"/>
        </w:trPr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KEY DATA</w:t>
            </w:r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single" w:color="D5D9E0" w:sz="4"/>
                <w:right w:val="none" w:color="FFFFFF" w:sz="0"/>
                <w:insideH w:val="single" w:color="D5D9E0" w:sz="4"/>
                <w:insideV w:val="none" w:color="FFFFFF" w:sz="0"/>
              </w:tblBorders>
            </w:tblPr>
            <w:tblGrid>
              <w:gridCol w:w="1750"/>
              <w:gridCol w:w="1800"/>
            </w:tblGrid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Recommendation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18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Target price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19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Current price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0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Upside / downside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1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Ticker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2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Market cap (CLP bn)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3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52-week range (CLP)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4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284B"/>
                      <w:sz w:val="14"/>
                      <w:szCs w:val="14"/>
                    </w:rPr>
                    <w:t xml:space="preserve">Dividend yield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5"/>
                    <w:showingPlcHdr/>
                  </w:sdtPr>
                  <w:sdtContent>
                    <w:p>
                      <w:pPr>
                        <w:spacing w:after="40" w:before="40"/>
                        <w:jc w:val="right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  ]</w:t>
                      </w:r>
                    </w:p>
                  </w:sdtContent>
                </w:sdt>
              </w:tc>
            </w:tr>
          </w:tbl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27: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12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Share price vs. IPSA]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27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12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28: </w:t>
            </w:r>
            <w:sdt>
              <w:sdtPr>
                <w:rPr>
                  <w:rFonts w:ascii="Arial" w:hAnsi="Arial" w:cs="Arial"/>
                  <w:color w:val="1A1A1A"/>
                  <w:sz w:val="14"/>
                  <w:szCs w:val="14"/>
                </w:rPr>
                <w:id w:val="112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[Figure title, e.g. Valuation summary]</w:t>
                </w:r>
              </w:sdtContent>
            </w:sdt>
          </w:p>
          <w:tbl>
            <w:tblPr>
              <w:tblW w:type="dxa" w:w="3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50"/>
            </w:tblGrid>
            <w:tr>
              <w:trPr>
                <w:trHeight w:val="4050" w:hRule="atLeast"/>
              </w:trPr>
              <w:tc>
                <w:tcPr>
                  <w:tcW w:type="dxa" w:w="3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4F7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sdt>
                  <w:sdtPr>
                    <w:rPr>
                      <w:rFonts w:ascii="Arial" w:hAnsi="Arial" w:cs="Arial"/>
                      <w:color w:val="1A1A1A"/>
                      <w:sz w:val="14"/>
                      <w:szCs w:val="14"/>
                    </w:rPr>
                    <w:id w:val="1130"/>
                    <w:showingPlcHdr/>
                  </w:sdtPr>
                  <w:sdtContent>
                    <w:p>
                      <w:pPr>
                        <w:jc w:val="center"/>
                      </w:pPr>
                      <w:r>
                        <w:rPr>
                          <w:rFonts w:ascii="Arial" w:cs="Arial" w:eastAsia="Arial" w:hAnsi="Arial"/>
                          <w:i/>
                          <w:iCs/>
                          <w:color w:val="808081"/>
                          <w:sz w:val="14"/>
                          <w:szCs w:val="14"/>
                        </w:rPr>
                        <w:t xml:space="preserve">[Insert chart or table]</w:t>
                      </w:r>
                    </w:p>
                  </w:sdtContent>
                </w:sdt>
              </w:tc>
            </w:tr>
          </w:tbl>
          <w:p>
            <w:pPr>
              <w:spacing w:after="60" w:before="20"/>
            </w:pPr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Source: </w:t>
            </w:r>
            <w:sdt>
              <w:sdtPr>
                <w:rPr>
                  <w:rFonts w:ascii="Arial" w:hAnsi="Arial" w:cs="Arial"/>
                  <w:color w:val="1A1A1A"/>
                  <w:sz w:val="12"/>
                  <w:szCs w:val="12"/>
                </w:rPr>
                <w:id w:val="113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2"/>
                    <w:szCs w:val="12"/>
                  </w:rPr>
                  <w:t xml:space="preserve">[Company filings / Team analysis]</w:t>
                </w:r>
              </w:sdtContent>
            </w:sdt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RECOMMENDATION AND TARGET PRICE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2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BUY / HOLD / SELL, target price, upside and time horizon.]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INVESTMENT THESIS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the two or three main reasons behind the recommendation.]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VALUATION SUMMARY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4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DCF and multiples result and how they support the target price.]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CATALYSTS AND DRIVERS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5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events or trends that could unlock value and their timing.]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KEY RISKS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136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[Write here: the risks that could change the recommendation (see Investment Risks).]</w:t>
                </w:r>
              </w:p>
            </w:sdtContent>
          </w:sdt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 w:start="1"/>
          <w:docGrid w:linePitch="360"/>
        </w:sectPr>
      </w:pPr>
    </w:p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1: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37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Income statement 2022A–2031E]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38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39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2: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0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Balance sheet]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1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2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3: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3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Cash flow statement]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4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5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4: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6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Forecast assumptions]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47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48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5: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49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DCF valuation detail]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0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1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6: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2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WACC calculation]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3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4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7: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5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Comparable companies]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6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57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8: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58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DuPont and key ratios]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59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0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9: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61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Sensitivity and scenario analysis]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62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3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p>
      <w:pPr>
        <w:pStyle w:val="Heading1"/>
        <w:pageBreakBefore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10: </w:t>
      </w:r>
      <w:sdt>
        <w:sdtPr>
          <w:rPr>
            <w:rFonts w:ascii="Arial" w:hAnsi="Arial" w:cs="Arial"/>
            <w:b/>
            <w:bCs/>
            <w:color w:val="1A1A1A"/>
            <w:sz w:val="30"/>
            <w:szCs w:val="30"/>
          </w:rPr>
          <w:id w:val="1164"/>
          <w:showingPlcHdr/>
        </w:sdtPr>
        <w:sdtContent>
          <w:r>
            <w:rPr>
              <w:rFonts w:ascii="Arial" w:cs="Arial" w:eastAsia="Arial" w:hAnsi="Arial"/>
              <w:b/>
              <w:bCs/>
              <w:i/>
              <w:iCs/>
              <w:color w:val="808081"/>
              <w:sz w:val="30"/>
              <w:szCs w:val="30"/>
            </w:rPr>
            <w:t xml:space="preserve">[Title, e.g. ESG scorecard and risk detail]</w:t>
          </w:r>
        </w:sdtContent>
      </w:sdt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666"/>
      </w:tblGrid>
      <w:tr>
        <w:trPr>
          <w:trHeight w:val="13400" w:hRule="atLeast"/>
        </w:trP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sdt>
            <w:sdtPr>
              <w:rPr>
                <w:rFonts w:ascii="Arial" w:hAnsi="Arial" w:cs="Arial"/>
                <w:color w:val="1A1A1A"/>
                <w:sz w:val="14"/>
                <w:szCs w:val="14"/>
              </w:rPr>
              <w:id w:val="1165"/>
              <w:showingPlcHdr/>
            </w:sdtPr>
            <w:sdtContent>
              <w:p>
                <w:pPr>
                  <w:jc w:val="center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4"/>
                    <w:szCs w:val="14"/>
                  </w:rPr>
                  <w:t xml:space="preserve">[Insert table or exhibit]</w:t>
                </w:r>
              </w:p>
            </w:sdtContent>
          </w:sdt>
        </w:tc>
      </w:tr>
    </w:tbl>
    <w:p>
      <w:pPr>
        <w:spacing w:after="60" w:before="20"/>
      </w:pPr>
      <w:r>
        <w:rPr>
          <w:rFonts w:ascii="Arial" w:cs="Arial" w:eastAsia="Arial" w:hAnsi="Arial"/>
          <w:color w:val="5F5F5F"/>
          <w:sz w:val="12"/>
          <w:szCs w:val="12"/>
        </w:rPr>
        <w:t xml:space="preserve">Source: </w:t>
      </w:r>
      <w:sdt>
        <w:sdtPr>
          <w:rPr>
            <w:rFonts w:ascii="Arial" w:hAnsi="Arial" w:cs="Arial"/>
            <w:color w:val="1A1A1A"/>
            <w:sz w:val="12"/>
            <w:szCs w:val="12"/>
          </w:rPr>
          <w:id w:val="1166"/>
          <w:showingPlcHdr/>
        </w:sdtPr>
        <w:sdtContent>
          <w:r>
            <w:rPr>
              <w:rFonts w:ascii="Arial" w:cs="Arial" w:eastAsia="Arial" w:hAnsi="Arial"/>
              <w:i/>
              <w:iCs/>
              <w:color w:val="808081"/>
              <w:sz w:val="12"/>
              <w:szCs w:val="12"/>
            </w:rPr>
            <w:t xml:space="preserve">[Company filings / Team analysis]</w:t>
          </w:r>
        </w:sdtContent>
      </w:sdt>
    </w:p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16"/>
      <w:szCs w:val="1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21b4553abc6a7bc2bffe30acda5e17ed53c0786.png"/><Relationship Id="rId12" Type="http://schemas.openxmlformats.org/officeDocument/2006/relationships/image" Target="media/de6d492575b8392d60c6facefb1abc2c79ef0eae.png"/><Relationship Id="rId13" Type="http://schemas.openxmlformats.org/officeDocument/2006/relationships/image" Target="media/70b2b3f1e475e59b034b6293cc0c43795c65442d.png"/><Relationship Id="rId14" Type="http://schemas.openxmlformats.org/officeDocument/2006/relationships/image" Target="media/9d31dd3e76b3dcb95aa175fdaea7bf1546522fc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2026-10-14T14:32:02.710Z</dcterms:created>
  <dcterms:modified xsi:type="dcterms:W3CDTF">2026-10-14T14:32:02.710Z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