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del activo, lo que rinde la empresa a quien la compra a CLP 3.555 si se cumplen nuestros flujos: 7,57% nominal (4,44% real en UF), 284 pb bajo su WACC y apenas ~80 pb reales sobre el costo real de su deuda (Figura 28).</w:t>
            </w:r>
            <w:r>
              <w:rPr>
                <w:rFonts w:ascii="Arial" w:cs="Arial" w:eastAsia="Arial" w:hAnsi="Arial"/>
                <w:color w:val="1A1A1A"/>
                <w:sz w:val="16"/>
                <w:szCs w:val="16"/>
              </w:rPr>
              <w:t xml:space="preserve"> El mercado está pagando por la empresa casi como si fuera un bono.</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del activo (firma) frente a su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Mercado: CLP 3.555</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objetivo: CLP 2.076</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9,87%</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6,67%</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−54 / −53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DCF: CLP 1.857</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 / +2 pb</w:t>
                  </w:r>
                </w:p>
              </w:tc>
            </w:tr>
          </w:tbl>
          <w:p>
            <w:pPr>
              <w:spacing w:after="60" w:before="20" w:line="216" w:lineRule="auto"/>
              <w:jc w:val="both"/>
            </w:pPr>
            <w:r>
              <w:rPr>
                <w:rFonts w:ascii="Arial" w:cs="Arial" w:eastAsia="Arial" w:hAnsi="Arial"/>
                <w:color w:val="5F5F5F"/>
                <w:sz w:val="11"/>
                <w:szCs w:val="11"/>
                <w:shd w:fill="ECB100" w:color="auto" w:val="clear"/>
              </w:rPr>
              <w:t xml:space="preserve">TIR del activo: tasa única que iguala el FCFF y el valor terminal al valor de la empresa pagado (precio × acciones + DFN + minoritarios). Al valor DCF coincide con la WACC. La Figura 34 desplaza toda la curva de WACC y da 7,56% al precio de mercado. Real = (1 + nom.) / (1 + 3,0%) − 1. Fuente: modelo v3, hojas TIR_Implicita y TIR_Accionista.</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w:t>
            </w:r>
            <w:r>
              <w:rPr>
                <w:rFonts w:ascii="Arial" w:cs="Arial" w:eastAsia="Arial" w:hAnsi="Arial"/>
                <w:color w:val="1A1A1A"/>
                <w:sz w:val="16"/>
                <w:szCs w:val="16"/>
                <w:shd w:fill="ECB100" w:color="auto" w:val="clear"/>
              </w:rPr>
              <w:t xml:space="preserve"> Es ahorro de caja real (baja el impuesto corriente), no contable: CLP 61 por acción sin descontar; sin él el objetivo baja 2,1% (Figura 29).</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Y el capital de trabajo crece con los ingresos (cuentas por cobrar de CLP 122.370 MM sobre arriendos anticipados de CLP 20.247 MM),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w:t>
            </w:r>
            <w:r>
              <w:rPr>
                <w:rFonts w:ascii="Arial" w:cs="Arial" w:eastAsia="Arial" w:hAnsi="Arial"/>
                <w:color w:val="1A1A1A"/>
                <w:sz w:val="16"/>
                <w:szCs w:val="16"/>
                <w:shd w:fill="ECB100" w:color="auto" w:val="clear"/>
              </w:rPr>
              <w:t xml:space="preserve">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Con todos los supuestos fuertes a favor el objetivo llega a CLP 2.928, aún 18% bajo el precio</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v3;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(rendimiento EBITDA/EV; con rentas reajustadas por UF se compara con tasas reales)</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w:t>
            </w:r>
            <w:r>
              <w:rPr>
                <w:rFonts w:ascii="Arial" w:cs="Arial" w:eastAsia="Arial" w:hAnsi="Arial"/>
                <w:color w:val="1A1A1A"/>
                <w:sz w:val="16"/>
                <w:szCs w:val="16"/>
                <w:shd w:fill="ECB100" w:color="auto" w:val="clear"/>
              </w:rPr>
              <w:t xml:space="preserve">un cap rate real de 6,0%</w:t>
            </w:r>
            <w:r>
              <w:rPr>
                <w:rFonts w:ascii="Arial" w:cs="Arial" w:eastAsia="Arial" w:hAnsi="Arial"/>
                <w:color w:val="1A1A1A"/>
                <w:sz w:val="16"/>
                <w:szCs w:val="16"/>
              </w:rPr>
              <w:t xml:space="preserve">, frente a 10,1% en nuestro DCF, 6,4% en los pares chilenos y 7,5% a valor libro (Figura 33). El mercado paga 1,61 veces un patrimonio que ya está a valor razonable, tasado con </w:t>
            </w:r>
            <w:r>
              <w:rPr>
                <w:rFonts w:ascii="Arial" w:cs="Arial" w:eastAsia="Arial" w:hAnsi="Arial"/>
                <w:color w:val="1A1A1A"/>
                <w:sz w:val="16"/>
                <w:szCs w:val="16"/>
                <w:shd w:fill="ECB100" w:color="auto" w:val="clear"/>
              </w:rPr>
              <w:t xml:space="preserve">una tasa de descuento real de ~5,55%</w:t>
            </w:r>
            <w:r>
              <w:rPr>
                <w:rFonts w:ascii="Arial" w:cs="Arial" w:eastAsia="Arial" w:hAnsi="Arial"/>
                <w:color w:val="1A1A1A"/>
                <w:sz w:val="16"/>
                <w:szCs w:val="16"/>
              </w:rPr>
              <w:t xml:space="preserve"> (Nota 11)</w:t>
            </w:r>
            <w:r>
              <w:rPr>
                <w:rFonts w:ascii="Arial" w:cs="Arial" w:eastAsia="Arial" w:hAnsi="Arial"/>
                <w:color w:val="1A1A1A"/>
                <w:sz w:val="16"/>
                <w:szCs w:val="16"/>
                <w:shd w:fill="ECB100" w:color="auto" w:val="clear"/>
              </w:rPr>
              <w:t xml:space="preserve">; la TIR real que deja el precio, 4,4%, queda bajo esa tasa</w:t>
            </w:r>
            <w:r>
              <w:rPr>
                <w:rFonts w:ascii="Arial" w:cs="Arial" w:eastAsia="Arial" w:hAnsi="Arial"/>
                <w:color w:val="1A1A1A"/>
                <w:sz w:val="16"/>
                <w:szCs w:val="16"/>
              </w:rPr>
              <w:t xml:space="preserve">: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w:t>
            </w:r>
            <w:r>
              <w:rPr>
                <w:rFonts w:ascii="Arial" w:cs="Arial" w:eastAsia="Arial" w:hAnsi="Arial"/>
                <w:color w:val="1A1A1A"/>
                <w:sz w:val="16"/>
                <w:szCs w:val="16"/>
                <w:shd w:fill="ECB100" w:color="auto" w:val="clear"/>
              </w:rPr>
              <w:t xml:space="preserve">un cap rate real de 9,3%</w:t>
            </w:r>
            <w:r>
              <w:rPr>
                <w:rFonts w:ascii="Arial" w:cs="Arial" w:eastAsia="Arial" w:hAnsi="Arial"/>
                <w:color w:val="1A1A1A"/>
                <w:sz w:val="16"/>
                <w:szCs w:val="16"/>
              </w:rPr>
              <w:t xml:space="preserve">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55f1b30aa23adb1880eef08b634a62a0bb86cbb6.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2026-10-17T16:58:40.389Z</dcterms:created>
  <dcterms:modified xsi:type="dcterms:W3CDTF">2026-10-17T16:58:40.389Z</dcterms:modified>
</cp:coreProperties>
</file>

<file path=docProps/custom.xml><?xml version="1.0" encoding="utf-8"?>
<Properties xmlns="http://schemas.openxmlformats.org/officeDocument/2006/custom-properties" xmlns:vt="http://schemas.openxmlformats.org/officeDocument/2006/docPropsVTypes"/>
</file>