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ABSTRACT</w:t>
      </w:r>
    </w:p>
    <w:p>
      <w:pPr>
        <w:shd w:fill="EEF1F6" w:color="auto" w:val="clear"/>
        <w:spacing w:after="80" w:line="240" w:lineRule="auto"/>
        <w:jc w:val="both"/>
      </w:pPr>
      <w:r>
        <w:rPr>
          <w:rFonts w:ascii="Arial" w:cs="Arial" w:eastAsia="Arial" w:hAnsi="Arial"/>
          <w:color w:val="1A1A1A"/>
          <w:sz w:val="17"/>
          <w:szCs w:val="17"/>
        </w:rPr>
        <w:t xml:space="preserve">Mallplaza (Plaza S.A.) is the largest shopping center operator in the Andean region: 37 centers and 2.36 million m² of GLA in Chile, Peru and Colombia, with revenue almost as predictable as a bond (81.4% rents, 93% fixed and UF-indexed in Chile) and an 80.5% EBITDA margin. It is a great business, but at CLP 3,555 the market prices it as if its cash flows were nearly risk-free. Weighting our DCF at 80% and peer multiples at 20%, we reach a target price of CLP 2,076 and recommend SELL. Our disagreement with the market is not about cash flows but about the discount rate: the price requires a 7.56% WACC, 285 bp below our 10.41%, and a 6.0% cap rate against the 10.1% implied by our cash flows. Growth does not rescue the price, because each new m² earns a 5.0% real return against a 7.2% real WACC, and neither the bull case (CLP 2,627) nor the appraisers' rate (CLP 2,719) reaches the share price. The main risk to the thesis is a further compression of long-term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666"/>
        <w:gridCol w:w="2666"/>
        <w:gridCol w:w="2666"/>
        <w:gridCol w:w="2666"/>
      </w:tblGrid>
      <w:tr>
        <w:tc>
          <w:tcPr>
            <w:tcW w:type="dxa" w:w="266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jc w:val="center"/>
            </w:pPr>
            <w:r>
              <w:rPr>
                <w:rFonts w:ascii="Arial" w:cs="Arial" w:eastAsia="Arial" w:hAnsi="Arial"/>
                <w:color w:val="FFFFFF"/>
                <w:sz w:val="13"/>
                <w:szCs w:val="13"/>
              </w:rPr>
              <w:t xml:space="preserve">Recommendation</w:t>
            </w:r>
          </w:p>
          <w:p>
            <w:pPr>
              <w:jc w:val="center"/>
            </w:pPr>
            <w:r>
              <w:rPr>
                <w:rFonts w:ascii="Arial" w:cs="Arial" w:eastAsia="Arial" w:hAnsi="Arial"/>
                <w:b/>
                <w:bCs/>
                <w:color w:val="FFFFFF"/>
                <w:sz w:val="26"/>
                <w:szCs w:val="26"/>
              </w:rPr>
              <w:t xml:space="preserve">SELL</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jc w:val="center"/>
            </w:pPr>
            <w:r>
              <w:rPr>
                <w:rFonts w:ascii="Arial" w:cs="Arial" w:eastAsia="Arial" w:hAnsi="Arial"/>
                <w:color w:val="FFFFFF"/>
                <w:sz w:val="13"/>
                <w:szCs w:val="13"/>
              </w:rPr>
              <w:t xml:space="preserve">Target price</w:t>
            </w:r>
          </w:p>
          <w:p>
            <w:pPr>
              <w:jc w:val="center"/>
            </w:pPr>
            <w:r>
              <w:rPr>
                <w:rFonts w:ascii="Arial" w:cs="Arial" w:eastAsia="Arial" w:hAnsi="Arial"/>
                <w:b/>
                <w:bCs/>
                <w:color w:val="FFFFFF"/>
                <w:sz w:val="26"/>
                <w:szCs w:val="26"/>
              </w:rPr>
              <w:t xml:space="preserve">CLP 2,076</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jc w:val="center"/>
            </w:pPr>
            <w:r>
              <w:rPr>
                <w:rFonts w:ascii="Arial" w:cs="Arial" w:eastAsia="Arial" w:hAnsi="Arial"/>
                <w:color w:val="FFFFFF"/>
                <w:sz w:val="13"/>
                <w:szCs w:val="13"/>
              </w:rPr>
              <w:t xml:space="preserve">Price (30-Sep-26)</w:t>
            </w:r>
          </w:p>
          <w:p>
            <w:pPr>
              <w:jc w:val="center"/>
            </w:pPr>
            <w:r>
              <w:rPr>
                <w:rFonts w:ascii="Arial" w:cs="Arial" w:eastAsia="Arial" w:hAnsi="Arial"/>
                <w:b/>
                <w:bCs/>
                <w:color w:val="FFFFFF"/>
                <w:sz w:val="26"/>
                <w:szCs w:val="26"/>
              </w:rPr>
              <w:t xml:space="preserve">CLP 3,555</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jc w:val="center"/>
            </w:pPr>
            <w:r>
              <w:rPr>
                <w:rFonts w:ascii="Arial" w:cs="Arial" w:eastAsia="Arial" w:hAnsi="Arial"/>
                <w:color w:val="FFFFFF"/>
                <w:sz w:val="13"/>
                <w:szCs w:val="13"/>
              </w:rPr>
              <w:t xml:space="preserve">Upside / downside</w:t>
            </w:r>
          </w:p>
          <w:p>
            <w:pPr>
              <w:jc w:val="center"/>
            </w:pPr>
            <w:r>
              <w:rPr>
                <w:rFonts w:ascii="Arial" w:cs="Arial" w:eastAsia="Arial" w:hAnsi="Arial"/>
                <w:b/>
                <w:bCs/>
                <w:color w:val="FFFFFF"/>
                <w:sz w:val="26"/>
                <w:szCs w:val="26"/>
              </w:rPr>
              <w:t xml:space="preserve">−41.6%</w:t>
            </w:r>
          </w:p>
        </w:tc>
      </w:tr>
    </w:tbl>
    <w:p>
      <w:pPr>
        <w:spacing w:after="160"/>
      </w:pPr>
    </w:p>
    <w:p>
      <w:pPr>
        <w:pBdr>
          <w:bottom w:val="single" w:color="14284B" w:sz="18" w:space="2"/>
        </w:pBdr>
        <w:spacing w:after="80"/>
      </w:pPr>
      <w:r>
        <w:rPr>
          <w:rFonts w:ascii="Arial" w:cs="Arial" w:eastAsia="Arial" w:hAnsi="Arial"/>
          <w:b/>
          <w:bCs/>
          <w:color w:val="14284B"/>
          <w:sz w:val="30"/>
          <w:szCs w:val="30"/>
        </w:rPr>
        <w:t xml:space="preserve">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FROM ONE MALL IN LA FLORIDA TO 37 URBAN CENTERS ACROSS THE ANDEAN REGION</w:t>
            </w:r>
          </w:p>
          <w:p>
            <w:pPr>
              <w:spacing w:after="60" w:before="0" w:line="228" w:lineRule="auto"/>
              <w:jc w:val="both"/>
            </w:pPr>
            <w:r>
              <w:rPr>
                <w:rFonts w:ascii="Arial" w:cs="Arial" w:eastAsia="Arial" w:hAnsi="Arial"/>
                <w:i w:val="false"/>
                <w:iCs w:val="false"/>
                <w:color w:val="1A1A1A"/>
                <w:sz w:val="16"/>
                <w:szCs w:val="16"/>
              </w:rPr>
              <w:t xml:space="preserve">Mallplaza was founded in 1990 with Mallplaza Vespucio, built from the ground up in La Florida, and 35 years later it is one of the leading retail real estate players in the Andean Region, with 37 urban centers and 2.36 million m² of GLA across Chile, Peru and Colombia (Figure 1). It entered Peru in 2007 with Mallplaza Trujillo, listed on the Santiago Stock Exchange in 2018, and is currently controlled by Falabella S.A., which held a 53.1% stake as of December 2025. Its business, however, remains the same as at inception: leasing m². Rent accounts for 81.4% of last-twelve-months (LTM) revenue, with the remainder coming from parking, commercial services and advertising. Because 93% of that rent is fixed and, in Chile, indexed to the UF, revenue is highly predictable, and the company also manages to grow it in real terms. In Chile, same-store rent (SSR) rose 6.5% LTM versus CPI of 4.3%, without straining its tenants, as rent represents only 9.9% of their sales (occupancy cost), nearly unchanged from a year earlier (9.7%). Nor is this an isolated good year: between 1Q23 and 2Q26, Chile SSR averaged 6.9% against inflation of 4.8%.</w:t>
            </w:r>
          </w:p>
          <w:p>
            <w:pPr>
              <w:pBdr>
                <w:bottom w:val="single" w:color="E9004B" w:sz="8" w:space="1"/>
              </w:pBdr>
              <w:spacing w:after="50" w:before="90"/>
            </w:pPr>
            <w:r>
              <w:rPr>
                <w:rFonts w:ascii="Arial" w:cs="Arial" w:eastAsia="Arial" w:hAnsi="Arial"/>
                <w:b/>
                <w:bCs/>
                <w:color w:val="14284B"/>
                <w:sz w:val="16"/>
                <w:szCs w:val="16"/>
              </w:rPr>
              <w:t xml:space="preserve">A CONSTANTLY REINVENTED TENANT MIX AND HIGH MARGINS BY DESIGN</w:t>
            </w:r>
          </w:p>
          <w:p>
            <w:pPr>
              <w:spacing w:after="60" w:before="0" w:line="228" w:lineRule="auto"/>
              <w:jc w:val="both"/>
            </w:pPr>
            <w:r>
              <w:rPr>
                <w:rFonts w:ascii="Arial" w:cs="Arial" w:eastAsia="Arial" w:hAnsi="Arial"/>
                <w:i w:val="false"/>
                <w:iCs w:val="false"/>
                <w:color w:val="1A1A1A"/>
                <w:sz w:val="16"/>
                <w:szCs w:val="16"/>
              </w:rPr>
              <w:t xml:space="preserve">That pricing power rests on a tenant mix the company has successfully reinvented. Department stores, which occupied 26.7% of GLA in 2020, fell to 19.0% in 2Q26 after Mallplaza converted roughly 146,000 m² of large-format stores since 2019 to brands such as IKEA, H&amp;M and Decathlon (Appendix 2). Today, 32.2% of GLA is devoted to essential retail and daily-traffic services, such as supermarkets, home improvement, public services and healthcare, which drive high-frequency visits, and another 21.5% to specialty retail. No single tenant dominates revenue: the top five tenants account for 18% and related parties for 15.7%. Add to this a lean cost structure, with cost of sales at 6.2% of revenue and administrative expenses at 13.9%, which leaves an LTM EBITDA margin of 80.5%.</w:t>
            </w:r>
          </w:p>
          <w:p>
            <w:pPr>
              <w:pBdr>
                <w:bottom w:val="single" w:color="E9004B" w:sz="8" w:space="1"/>
              </w:pBdr>
              <w:spacing w:after="50" w:before="90"/>
            </w:pPr>
            <w:r>
              <w:rPr>
                <w:rFonts w:ascii="Arial" w:cs="Arial" w:eastAsia="Arial" w:hAnsi="Arial"/>
                <w:b/>
                <w:bCs/>
                <w:color w:val="14284B"/>
                <w:sz w:val="16"/>
                <w:szCs w:val="16"/>
              </w:rPr>
              <w:t xml:space="preserve">VALUE IS CONCENTRATED IN 10 TIER A ASSETS</w:t>
            </w:r>
          </w:p>
          <w:p>
            <w:pPr>
              <w:spacing w:after="60" w:before="0" w:line="228" w:lineRule="auto"/>
              <w:jc w:val="both"/>
            </w:pPr>
            <w:r>
              <w:rPr>
                <w:rFonts w:ascii="Arial" w:cs="Arial" w:eastAsia="Arial" w:hAnsi="Arial"/>
                <w:i w:val="false"/>
                <w:iCs w:val="false"/>
                <w:color w:val="1A1A1A"/>
                <w:sz w:val="16"/>
                <w:szCs w:val="16"/>
              </w:rPr>
              <w:t xml:space="preserve">The growth story is written in its best assets. Ten centers, seven in Chile, two in Colombia and one in Peru, are Tier A, and with 46.4% of GLA they generate more than 60% of EBITDA (Appendix 1). Investment is directed toward them, as the expansions under construction at Trébol, Oeste, Norte, Trujillo and La Serena aim to lift Tier A assets to more than 70% of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GLA by country (2Q26) and revenue by source (LTM to Jun-2026)</w:t>
            </w:r>
            <w:r>
              <w:br/>
            </w:r>
            <w:r>
              <w:drawing>
                <wp:inline distT="0" distB="0" distL="0" distR="0">
                  <wp:extent cx="22574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257425" cy="310515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(p.19) and Institutional Presentation 2Q26 (p.16).</w:t>
            </w:r>
          </w:p>
        </w:tc>
      </w:tr>
    </w:tbl>
    <w:p>
      <w:pPr>
        <w:sectPr>
          <w:headerReference w:type="default" r:id="rId7"/>
          <w:footerReference w:type="default" r:id="rId8"/>
          <w:type w:val="nextPage"/>
          <w:pgSz w:w="11906" w:h="16838" w:orient="portrait"/>
          <w:pgMar w:top="1000" w:right="620" w:bottom="900" w:left="620" w:header="450" w:footer="400" w:gutter="0"/>
          <w:pgNumType w:start="1"/>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AN INDUSTRY THAT IS CONCENTRATED IN CHILE AND FRAGMENTED IN PERU AND COLOMBIA</w:t>
            </w:r>
          </w:p>
          <w:p>
            <w:pPr>
              <w:spacing w:after="60" w:before="0" w:line="228" w:lineRule="auto"/>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and on that basis Mallplaza, Cenco Malls and Parque Arauco together manage 3.4 million m² in Chile alone.</w:t>
            </w:r>
          </w:p>
          <w:p>
            <w:pPr>
              <w:spacing w:after="60" w:before="0" w:line="228" w:lineRule="auto"/>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reaches at least 2,126 points, typical of a highly concentrated market, with Mallplaza as leader (33%) followed by Cenco (29%) and Parque Arauco (14%). In Peru and Colombia, by contrast, the trio accounts for only 37% and 13% of GLA, respectively, leadership is held by an outside operator with 29% and 9%, respectively, and Mallplaza ranks second in both markets. Fragmentation is greatest in Colombia, where most shopping centers are strata-titled (multi-owner), which forces professional operators to grow by acquiring single-owner assets, as Mallplaza did with Gran Plaza.</w:t>
            </w:r>
          </w:p>
          <w:p>
            <w:pPr>
              <w:pBdr>
                <w:bottom w:val="single" w:color="E9004B" w:sz="8" w:space="1"/>
              </w:pBdr>
              <w:spacing w:after="50" w:before="90"/>
            </w:pPr>
            <w:r>
              <w:rPr>
                <w:rFonts w:ascii="Arial" w:cs="Arial" w:eastAsia="Arial" w:hAnsi="Arial"/>
                <w:b/>
                <w:bCs/>
                <w:color w:val="14284B"/>
                <w:sz w:val="16"/>
                <w:szCs w:val="16"/>
              </w:rPr>
              <w:t xml:space="preserve">NEW SUPPLY IN CHILE GROWS IN LINE WITH CONSUMPTION, WITH PRESSURE IN 2027-2028</w:t>
            </w:r>
          </w:p>
          <w:p>
            <w:pPr>
              <w:spacing w:after="60" w:before="0" w:line="228" w:lineRule="auto"/>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6.7% of its current GLA; this figure excludes offices and multifamily, which do not depend on consumption, as well as acquisitions, which merely change ownership. Over the same period, the Central Bank of Chile projects cumulative private consumption growth of 6.4% (Figure 3), so new supply is advancing practically in line with expected demand. The timing, however, is uneven: 2026 adds almost no space (+0.2%), and pressure is concentrated in 2027 and 2028, when supply (+2.9% and +3.5%) outpaces consumption (+2.1% and +2.7%).</w:t>
            </w:r>
          </w:p>
          <w:p>
            <w:pPr>
              <w:spacing w:after="60" w:before="0" w:line="228" w:lineRule="auto"/>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(−5.9%). Even so, tenants continue to demand space, and consolidated occupancy at the three companies has ranged between 93% and 99% since 2Q22, even through the cycle of high inflation and interest rates (Appendix 4). Outside Chile, the balance is more comfortable: dated new supply is limited to Mallplaza expansions in Peru (55,800 m²), is practically nil in Colombia, and coexists with Mallplaza same-store sales (SSS) that grew 7.0% in Peru and 9.0% in Colombia in local currency.</w:t>
            </w:r>
          </w:p>
          <w:p>
            <w:pPr>
              <w:pBdr>
                <w:bottom w:val="single" w:color="E9004B" w:sz="8" w:space="1"/>
              </w:pBdr>
              <w:spacing w:after="50" w:before="90"/>
            </w:pPr>
            <w:r>
              <w:rPr>
                <w:rFonts w:ascii="Arial" w:cs="Arial" w:eastAsia="Arial" w:hAnsi="Arial"/>
                <w:b/>
                <w:bCs/>
                <w:color w:val="14284B"/>
                <w:sz w:val="16"/>
                <w:szCs w:val="16"/>
              </w:rPr>
              <w:t xml:space="preserve">AN ATTRACTIVE INDUSTRY WHOSE ONLY INTENSE FORCE IS RIVALRY</w:t>
            </w:r>
          </w:p>
          <w:p>
            <w:pPr>
              <w:spacing w:after="60" w:before="0" w:line="228" w:lineRule="auto"/>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6). The result describes an attractive industry, consistent with EBITDA margins ranging from 71% to 90% across the three operators, in which the only intense force is rivalry.</w:t>
            </w:r>
          </w:p>
          <w:p>
            <w:pPr>
              <w:spacing w:after="60" w:before="0" w:line="228" w:lineRule="auto"/>
              <w:jc w:val="both"/>
            </w:pPr>
            <w:r>
              <w:rPr>
                <w:rFonts w:ascii="Arial" w:cs="Arial" w:eastAsia="Arial" w:hAnsi="Arial"/>
                <w:b/>
                <w:bCs/>
                <w:i w:val="false"/>
                <w:iCs w:val="false"/>
                <w:color w:val="14284B"/>
                <w:sz w:val="16"/>
                <w:szCs w:val="16"/>
              </w:rPr>
              <w:t xml:space="preserve">Rivalry (4)</w:t>
            </w:r>
            <w:r>
              <w:rPr>
                <w:rFonts w:ascii="Arial" w:cs="Arial" w:eastAsia="Arial" w:hAnsi="Arial"/>
                <w:i w:val="false"/>
                <w:iCs w:val="false"/>
                <w:color w:val="1A1A1A"/>
                <w:sz w:val="16"/>
                <w:szCs w:val="16"/>
              </w:rPr>
              <w:t xml:space="preserve"> is played out not on price but on experience and assets. Mallplaza devotes more than half of its GLA to non-traditional, experience and entertainment formats, Cenco opened QINTO with 30,000 m² of food and dining at Costanera, and Parque Arauco is adding dining floors at Kennedy, while competition to acquire assets is intensifying, with Minka and Plaza Central changing hands in the past year and Parque Arauco announcing the purchase of Quilín and Chicureo. We do not assign the maximum score because the trio's shares in Chile have remained stable since 2Q22 (Appendix 5) and margins show no erosion.</w:t>
            </w:r>
          </w:p>
          <w:p>
            <w:pPr>
              <w:spacing w:after="60" w:before="0" w:line="228" w:lineRule="auto"/>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occupancy in Chile reaches 96-99%,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r>
              <w:br/>
            </w:r>
            <w:r>
              <w:drawing>
                <wp:inline distT="0" distB="0" distL="0" distR="0">
                  <wp:extent cx="22574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57425" cy="276225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p>
            <w:pPr>
              <w:keepLines/>
              <w:spacing w:after="20" w:before="90" w:line="240"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r>
              <w:br/>
            </w: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42875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p>
            <w:pPr>
              <w:keepLines/>
              <w:spacing w:after="20" w:before="90" w:line="240"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r>
              <w:br/>
            </w:r>
            <w:r>
              <w:drawing>
                <wp:inline distT="0" distB="0" distL="0" distR="0">
                  <wp:extent cx="22574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7049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6). 1 = weak force; 5 = intense force.</w:t>
            </w:r>
          </w:p>
        </w:tc>
      </w:tr>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MALLPLAZA TURNS ITS SCALE INTO THE MOST PRODUCTIVE M² OF THE TRIO</w:t>
            </w:r>
          </w:p>
          <w:p>
            <w:pPr>
              <w:spacing w:after="60" w:before="0" w:line="228" w:lineRule="auto"/>
              <w:jc w:val="both"/>
            </w:pPr>
            <w:r>
              <w:rPr>
                <w:rFonts w:ascii="Arial" w:cs="Arial" w:eastAsia="Arial" w:hAnsi="Arial"/>
                <w:i w:val="false"/>
                <w:iCs w:val="false"/>
                <w:color w:val="1A1A1A"/>
                <w:sz w:val="16"/>
                <w:szCs w:val="16"/>
              </w:rPr>
              <w:t xml:space="preserve">Mallplaza turns its scale into the highest EBITDA per m² of the trio, at CLP 59,451 in 2Q26 versus 58,384 at Cenco and 55,738 at Parque Arauco (Figure 5). That advantage stems from high-traffic urban locations, which in Chile received 52.7 million visits in the quarter versus 32.5 million at Cenco, and from monthly sales per m² of CLP 289,788 in Chile, 5.8% higher than a year earlier. The gap with Cenco is narrow and is partly explained by Cenco having added Plaza Central in June, with just one month of EBITDA in the quarter.</w:t>
            </w:r>
          </w:p>
          <w:p>
            <w:pPr>
              <w:spacing w:after="60" w:before="0" w:line="228" w:lineRule="auto"/>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pBdr>
                <w:bottom w:val="single" w:color="E9004B" w:sz="8" w:space="1"/>
              </w:pBdr>
              <w:spacing w:after="50" w:before="90"/>
            </w:pPr>
            <w:r>
              <w:rPr>
                <w:rFonts w:ascii="Arial" w:cs="Arial" w:eastAsia="Arial" w:hAnsi="Arial"/>
                <w:b/>
                <w:bCs/>
                <w:color w:val="14284B"/>
                <w:sz w:val="16"/>
                <w:szCs w:val="16"/>
              </w:rPr>
              <w:t xml:space="preserve">LONG LEASES TO DEFEND ITS POSITION</w:t>
            </w:r>
          </w:p>
          <w:p>
            <w:pPr>
              <w:spacing w:after="60" w:before="0" w:line="228" w:lineRule="auto"/>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(8.7 years) and Parque Arauco (5.0 years) with a useful balance: it secures enough revenue to weather the supply pressure of 2027-2028 while leaving 15.1% of GLA expiring within two years to reset rents if demand allows.</w:t>
            </w:r>
          </w:p>
          <w:p>
            <w:pPr>
              <w:spacing w:after="60" w:before="0" w:line="228" w:lineRule="auto"/>
              <w:jc w:val="both"/>
            </w:pPr>
            <w:r>
              <w:rPr>
                <w:rFonts w:ascii="Arial" w:cs="Arial" w:eastAsia="Arial" w:hAnsi="Arial"/>
                <w:i w:val="false"/>
                <w:iCs w:val="false"/>
                <w:color w:val="1A1A1A"/>
                <w:sz w:val="16"/>
                <w:szCs w:val="16"/>
              </w:rPr>
              <w:t xml:space="preserve">In an attractive industry, but one with high rivalry and supply that will outpace consumption in 2027-2028, the operators with the most productive assets and the most stable leases will gain share and profitability. Mallplaza leads in scale in Chile and in productivity per m², and is the only one of the trio with growing real sales, which leaves it well positioned to defend its profitability. Its main risk is its exposure to Chile, which accounts for 62% of its GLA and where consumption currently looks weaker.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r>
              <w:br/>
            </w: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0572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p>
            <w:pPr>
              <w:keepLines/>
              <w:spacing w:after="20" w:before="90" w:line="240"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r>
              <w:br/>
            </w: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3335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p>
      <w:pPr>
        <w:sectPr>
          <w:headerReference w:type="default" r:id="rId9"/>
          <w:footerReference w:type="default" r:id="rId10"/>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ENVIRONMENTAL, SOCIAL AND GOVERNANCE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Plaza's ESG approach cuts across all of its organizational decisions, with the aim of developing its business model in accordance with ESG parameters and thereby contributing to sustainable development, which gives it the opportunity to access financial benefits both from external sources and from its own operations. Regarding compliance with these parameters, Bloomberg rates the company at 3.39 points, below the global industry average (5–6 points) and below its direct competitors in Chile (Figure 7); however, this is offset by the company's “green” profile at the local level, as it ranks among the leading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As for operational benefits, the implementation of an ISO 50001-certified energy management system (EnMS) translates into better energy performance and, consequently, lower operating costs. The opportunities to access local external benefits are tied to the company's ESG image: in Chile, under the R&amp;D Law (CORFO), Plaza can obtain up to a 55% reduction in first-category corporate income tax; Peru recognizes the company with 2 out of 4 stars under “Huella de Carbono Perú”, which strengthens the company's image and makes it easier to obtain permits and licenses in the country; and Colombia has Law 2099 of 2021, which allows income tax deductions for investments in environmental control, conservation and improvement.</w:t>
            </w:r>
          </w:p>
          <w:p>
            <w:pPr>
              <w:pBdr>
                <w:bottom w:val="single" w:color="E9004B" w:sz="8" w:space="1"/>
              </w:pBdr>
              <w:spacing w:after="50" w:before="90"/>
            </w:pPr>
            <w:r>
              <w:rPr>
                <w:rFonts w:ascii="Arial" w:cs="Arial" w:eastAsia="Arial" w:hAnsi="Arial"/>
                <w:b/>
                <w:bCs/>
                <w:color w:val="14284B"/>
                <w:sz w:val="16"/>
                <w:szCs w:val="16"/>
              </w:rPr>
              <w:t xml:space="preserve">ENVIRONMENTAL</w:t>
            </w:r>
          </w:p>
          <w:p>
            <w:pPr>
              <w:spacing w:after="60" w:before="0" w:line="228" w:lineRule="auto"/>
              <w:jc w:val="both"/>
            </w:pPr>
            <w:r>
              <w:rPr>
                <w:rFonts w:ascii="Arial" w:cs="Arial" w:eastAsia="Arial" w:hAnsi="Arial"/>
                <w:i w:val="false"/>
                <w:iCs w:val="false"/>
                <w:color w:val="1A1A1A"/>
                <w:sz w:val="16"/>
                <w:szCs w:val="16"/>
              </w:rPr>
              <w:t xml:space="preserve">Plaza's approach is to achieve efficient, sustainable and circular operational management based on continuous improvement in environmental performance. To this end, it has set three strategic focus areas on ESG parameters: energy and water efficiency, carbon footprint, and waste management. Plaza's main objective is to achieve carbon neutrality, targeting Net Zero in direct and indirect emissions by 2035 (65.6% progress in 2025). </w:t>
            </w:r>
            <w:r>
              <w:rPr>
                <w:rFonts w:ascii="Arial" w:cs="Arial" w:eastAsia="Arial" w:hAnsi="Arial"/>
                <w:b/>
                <w:bCs/>
                <w:i w:val="false"/>
                <w:iCs w:val="false"/>
                <w:color w:val="14284B"/>
                <w:sz w:val="16"/>
                <w:szCs w:val="16"/>
              </w:rPr>
              <w:t xml:space="preserve">Sustainability indices:</w:t>
            </w:r>
            <w:r>
              <w:rPr>
                <w:rFonts w:ascii="Arial" w:cs="Arial" w:eastAsia="Arial" w:hAnsi="Arial"/>
                <w:i w:val="false"/>
                <w:iCs w:val="false"/>
                <w:color w:val="1A1A1A"/>
                <w:sz w:val="16"/>
                <w:szCs w:val="16"/>
              </w:rPr>
              <w:t xml:space="preserve"> The company is included in the DJSI Chile and DJSI MILA, and is the only real estate company in South America to be part of MSCI ESG, with a “BBB” rating, which gives it exposure to ETFs. In addition, it has received the following recognitions: S&amp;P Global Sustainability Yearbook; Morningstar Sustainalytics assigns it a risk rating of 14.4; and Huella de Carbono Perú (2/4 stars), which supports its ESG image.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aims to reduce the energy intensity of common-area expenses by 22% by 2035 (35.5% progress in 2025; Figure 8). The electricity efficiency target is for 100% to come from renewable energy by 2026 (89.3% progress). In 2025, the annual ratio was 0.16 MWh/m² (Energy/GLA), of which 0.14 was renewable and 0.014 non-renewable (Figure 9).</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It set the goal of reducing direct water consumption by 30% by 2025, which was 100.9% achieved, influenced by its LEED and EDGE certifications. In 2025, the annual ratio was 0.77 m³/m² (Water/GLA) and 0.66 m³/m² monthly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It set the goal of eliminating 100% of HCFC use by 2030 (14.9% progress in 2025), which is vital for GHG emissions management, an area in which Bloomberg recognizes Plaza as a global industry Leader.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set a target of 60% recovery of waste generated in 2025 (94.8% progress; Figure 9 and Appendix 8, Figure 8.4), and also seeks to divert 75% of solid waste from landfills by 2027. It reports having eliminated 97% of single-use plastics from its operations. </w:t>
            </w:r>
            <w:r>
              <w:rPr>
                <w:rFonts w:ascii="Arial" w:cs="Arial" w:eastAsia="Arial" w:hAnsi="Arial"/>
                <w:b/>
                <w:bCs/>
                <w:i w:val="false"/>
                <w:iCs w:val="false"/>
                <w:color w:val="14284B"/>
                <w:sz w:val="16"/>
                <w:szCs w:val="16"/>
              </w:rPr>
              <w:t xml:space="preserve">Climate management:</w:t>
            </w:r>
            <w:r>
              <w:rPr>
                <w:rFonts w:ascii="Arial" w:cs="Arial" w:eastAsia="Arial" w:hAnsi="Arial"/>
                <w:i w:val="false"/>
                <w:iCs w:val="false"/>
                <w:color w:val="1A1A1A"/>
                <w:sz w:val="16"/>
                <w:szCs w:val="16"/>
              </w:rPr>
              <w:t xml:space="preserve"> Plaza adopts the TCFD recommendations to integrate physical and transition risks, together with environmental due diligence on asset acquisitions, under an environmental compliance program aligned with ISO 14001 and monitored by the sustainability committee.</w:t>
            </w:r>
          </w:p>
          <w:p>
            <w:pPr>
              <w:pBdr>
                <w:bottom w:val="single" w:color="E9004B" w:sz="8" w:space="1"/>
              </w:pBdr>
              <w:spacing w:after="50" w:before="9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i w:val="false"/>
                <w:iCs w:val="false"/>
                <w:color w:val="1A1A1A"/>
                <w:sz w:val="16"/>
                <w:szCs w:val="16"/>
              </w:rPr>
              <w:t xml:space="preserve">The company approaches the social dimension through a model focused on long-term ethical relationships, as a principle of shared value creation that places the people in its stakeholder groups at the center of its strategy, aligned with ISO 45001 and ILO guidelines; in 2025 it incorporated the risk detection and response program of its human rights policy. In this way, Plaza manages its stakeholders by ensuring transparent engagement, using mechanisms such as community dialogues and materiality assessments (Appendix 8, Figure 8.3), and remains alert to any social incident through its integrity hotline. It is also ranked 31st out of 385 by CADEM in “Marcas Ciudadanas” (“Citizen Brands”), winning the “Shopping Centers” category (2026). Regarding employees, they receive training and even have access to specific programs for those nearing retirement (Appendix 8, section 5); in addition, the company evaluates its suppliers using sustainability criteria (55.3% of regional suppliers and 38.4% of foreign suppliers). Plaza manages its relationship with its customers (tenants) through a relationship model focused on value proposition and experience, measuring their satisfaction through NPS, which rose to 13% in 2025 (Figure 10). To manage emergencies, each center has emergency manuals adapted to local geographic contexts and conducts drills to prevent incidents and educate the community (52 drills were conducted in 2025); regarding privacy, Plaza implemented ISO/IEC 27001, ensuring the confidentiality, integrity and availability of information against cyber risks.</w:t>
            </w:r>
          </w:p>
          <w:p>
            <w:pPr>
              <w:spacing w:after="60" w:before="0" w:line="228" w:lineRule="auto"/>
              <w:jc w:val="both"/>
            </w:pPr>
            <w:r>
              <w:rPr>
                <w:rFonts w:ascii="Arial" w:cs="Arial" w:eastAsia="Arial" w:hAnsi="Arial"/>
                <w:i w:val="false"/>
                <w:iCs w:val="false"/>
                <w:color w:val="1A1A1A"/>
                <w:sz w:val="16"/>
                <w:szCs w:val="16"/>
              </w:rPr>
              <w:t xml:space="preserve">In terms of diversity, women represent 53.2% of the total workforce and hold 42% of management positions (Figure 10), and there is an average gender pay gap of 28% at the regional level. The target for 2028 is for 60% of the properties to be certified as inclusive spaces; in addition, Plaza obtained the “Sello Mayor” (“Senior Seal”), a distinction that certifies physical and operational adaptation for older adults.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Bloomberg ESG score and external ratings.</w:t>
            </w:r>
            <w:r>
              <w:br/>
            </w: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828800"/>
                          </a:xfrm>
                          <a:prstGeom prst="rect">
                            <a:avLst/>
                          </a:prstGeom>
                        </pic:spPr>
                      </pic:pic>
                    </a:graphicData>
                  </a:graphic>
                </wp:inline>
              </w:drawing>
            </w:r>
            <w:r>
              <w:br/>
            </w: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p>
            <w:pPr>
              <w:keepLines/>
              <w:spacing w:after="20" w:before="90" w:line="240" w:lineRule="auto"/>
            </w:pPr>
            <w:r>
              <w:rPr>
                <w:rFonts w:ascii="Arial" w:cs="Arial" w:eastAsia="Arial" w:hAnsi="Arial"/>
                <w:b/>
                <w:bCs/>
                <w:color w:val="14284B"/>
                <w:sz w:val="14"/>
                <w:szCs w:val="14"/>
              </w:rPr>
              <w:t xml:space="preserve">Figure 8: </w:t>
            </w:r>
            <w:r>
              <w:rPr>
                <w:rFonts w:ascii="Arial" w:cs="Arial" w:eastAsia="Arial" w:hAnsi="Arial"/>
                <w:color w:val="14284B"/>
                <w:sz w:val="14"/>
                <w:szCs w:val="14"/>
              </w:rPr>
              <w:t xml:space="preserve">Environmental targets: progress to 2025.</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Mallplaza 2025 Annual Report.</w:t>
            </w:r>
          </w:p>
          <w:p>
            <w:pPr>
              <w:keepLines/>
              <w:spacing w:after="20" w:before="90" w:line="240" w:lineRule="auto"/>
            </w:pPr>
            <w:r>
              <w:rPr>
                <w:rFonts w:ascii="Arial" w:cs="Arial" w:eastAsia="Arial" w:hAnsi="Arial"/>
                <w:b/>
                <w:bCs/>
                <w:color w:val="14284B"/>
                <w:sz w:val="14"/>
                <w:szCs w:val="14"/>
              </w:rPr>
              <w:t xml:space="preserve">Figure 9: </w:t>
            </w:r>
            <w:r>
              <w:rPr>
                <w:rFonts w:ascii="Arial" w:cs="Arial" w:eastAsia="Arial" w:hAnsi="Arial"/>
                <w:color w:val="14284B"/>
                <w:sz w:val="14"/>
                <w:szCs w:val="14"/>
              </w:rPr>
              <w:t xml:space="preserve">Renewable energy and waste recovery, 2025.</w:t>
            </w:r>
            <w:r>
              <w:br/>
            </w: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647825"/>
                          </a:xfrm>
                          <a:prstGeom prst="rect">
                            <a:avLst/>
                          </a:prstGeom>
                        </pic:spPr>
                      </pic:pic>
                    </a:graphicData>
                  </a:graphic>
                </wp:inline>
              </w:drawing>
            </w:r>
            <w:r>
              <w:br/>
            </w: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p>
            <w:pPr>
              <w:keepLines/>
              <w:spacing w:after="20" w:before="90" w:line="240" w:lineRule="auto"/>
            </w:pPr>
            <w:r>
              <w:rPr>
                <w:rFonts w:ascii="Arial" w:cs="Arial" w:eastAsia="Arial" w:hAnsi="Arial"/>
                <w:b/>
                <w:bCs/>
                <w:color w:val="14284B"/>
                <w:sz w:val="14"/>
                <w:szCs w:val="14"/>
              </w:rPr>
              <w:t xml:space="preserve">Figure 10: </w:t>
            </w:r>
            <w:r>
              <w:rPr>
                <w:rFonts w:ascii="Arial" w:cs="Arial" w:eastAsia="Arial" w:hAnsi="Arial"/>
                <w:color w:val="14284B"/>
                <w:sz w:val="14"/>
                <w:szCs w:val="14"/>
              </w:rPr>
              <w:t xml:space="preserve">Social indicators.</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NPS = % of promoters (scores 9–10) minus % of detractors (0–6). Source: Mallplaza 2025 Annual Report.</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GOVERNANCE</w:t>
            </w:r>
          </w:p>
          <w:p>
            <w:pPr>
              <w:spacing w:after="60" w:before="0" w:line="228" w:lineRule="auto"/>
              <w:jc w:val="both"/>
            </w:pPr>
            <w:r>
              <w:rPr>
                <w:rFonts w:ascii="Arial" w:cs="Arial" w:eastAsia="Arial" w:hAnsi="Arial"/>
                <w:i w:val="false"/>
                <w:iCs w:val="false"/>
                <w:color w:val="1A1A1A"/>
                <w:sz w:val="16"/>
                <w:szCs w:val="16"/>
              </w:rPr>
              <w:t xml:space="preserve">Corporate governance is guided by the G20 and OECD principles, aligned with the CMF's NCG 461; all of this seeks transparent management with risk control and a solid structure to monitor the corporate strategy and ESG commitments. </w:t>
            </w:r>
            <w:r>
              <w:rPr>
                <w:rFonts w:ascii="Arial" w:cs="Arial" w:eastAsia="Arial" w:hAnsi="Arial"/>
                <w:b/>
                <w:bCs/>
                <w:i w:val="false"/>
                <w:iCs w:val="false"/>
                <w:color w:val="14284B"/>
                <w:sz w:val="16"/>
                <w:szCs w:val="16"/>
              </w:rPr>
              <w:t xml:space="preserve">Board and committees:</w:t>
            </w:r>
            <w:r>
              <w:rPr>
                <w:rFonts w:ascii="Arial" w:cs="Arial" w:eastAsia="Arial" w:hAnsi="Arial"/>
                <w:i w:val="false"/>
                <w:iCs w:val="false"/>
                <w:color w:val="1A1A1A"/>
                <w:sz w:val="16"/>
                <w:szCs w:val="16"/>
              </w:rPr>
              <w:t xml:space="preserve"> In 2025, the Board, composed of 9 members (only one of whom is classified as independent; Figure 11 and Appendix 8, Figure 8.2), is responsible for defining Plaza's objectives, strategies and policies, while the directors' committee (composed of 3 members) reviews the balance sheets and financial statements, thereby mitigating agency risks. Together, both bodies oversee the risk management led by the executive team committee and the CEO. In the second half of 2025, CEO Fernando de Peña Iver submitted his resignation, effective at year-end, and Pablo Pulido Sierra took over the position in 2026. </w:t>
            </w:r>
            <w:r>
              <w:rPr>
                <w:rFonts w:ascii="Arial" w:cs="Arial" w:eastAsia="Arial" w:hAnsi="Arial"/>
                <w:b/>
                <w:bCs/>
                <w:i w:val="false"/>
                <w:iCs w:val="false"/>
                <w:color w:val="14284B"/>
                <w:sz w:val="16"/>
                <w:szCs w:val="16"/>
              </w:rPr>
              <w:t xml:space="preserve">Shareholders:</w:t>
            </w:r>
            <w:r>
              <w:rPr>
                <w:rFonts w:ascii="Arial" w:cs="Arial" w:eastAsia="Arial" w:hAnsi="Arial"/>
                <w:i w:val="false"/>
                <w:iCs w:val="false"/>
                <w:color w:val="1A1A1A"/>
                <w:sz w:val="16"/>
                <w:szCs w:val="16"/>
              </w:rPr>
              <w:t xml:space="preserve"> Plaza has a concentrated control model, as it is controlled by Falabella S.A. through its subsidiary Desarrollos Inmobiliarios SpA (53.05% of the shares; Appendix 8, Figure 8.1). Minority shareholders holding 1% are entitled to propose director candidates, and the shareholders are the highest body, responsible for appointing the Board and external auditors and approving dividend policies. </w:t>
            </w:r>
            <w:r>
              <w:rPr>
                <w:rFonts w:ascii="Arial" w:cs="Arial" w:eastAsia="Arial" w:hAnsi="Arial"/>
                <w:b/>
                <w:bCs/>
                <w:i w:val="false"/>
                <w:iCs w:val="false"/>
                <w:color w:val="14284B"/>
                <w:sz w:val="16"/>
                <w:szCs w:val="16"/>
              </w:rPr>
              <w:t xml:space="preserve">Ethics, audit and control:</w:t>
            </w:r>
            <w:r>
              <w:rPr>
                <w:rFonts w:ascii="Arial" w:cs="Arial" w:eastAsia="Arial" w:hAnsi="Arial"/>
                <w:i w:val="false"/>
                <w:iCs w:val="false"/>
                <w:color w:val="1A1A1A"/>
                <w:sz w:val="16"/>
                <w:szCs w:val="16"/>
              </w:rPr>
              <w:t xml:space="preserve"> The ethical framework is supported by the integrity code and the crime prevention model, which together provide a guide for the organization's conduct. In addition, Plaza operates the Autocompliance platform to record meetings with public officials and manage gifts and invitations, along with a confidential integrity hotline for reporting irregularities without risk to the whistleblower. Under the supervision of the directors' committee, a control model is in place, with an internal audit reported monthly to the committee that monitors corrective actions; in parallel, the committee must appoint external auditors and credit rating agencies to analyze the company, as well as have the financial statements audited by independent auditors. Regarding sanctions at the regional level in 2025, Plaza has no antitrust or corruption sanctions, but it has 27 sanctions related to customer/consumer rights, 2 related to workers' rights, 1 from the Superintendency of the Environment and 8 for workplace/sexual harassment (Appendix 8, section 3).</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11: </w:t>
            </w:r>
            <w:r>
              <w:rPr>
                <w:rFonts w:ascii="Arial" w:cs="Arial" w:eastAsia="Arial" w:hAnsi="Arial"/>
                <w:color w:val="14284B"/>
                <w:sz w:val="14"/>
                <w:szCs w:val="14"/>
              </w:rPr>
              <w:t xml:space="preserve">ESG incentives and Board composition.</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Source: Mallplaza 2025 Annual Report.</w:t>
            </w:r>
          </w:p>
        </w:tc>
      </w:tr>
    </w:tbl>
    <w:p>
      <w:pPr>
        <w:sectPr>
          <w:headerReference w:type="default" r:id="rId11"/>
          <w:footerReference w:type="default" r:id="rId12"/>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FINANCIAL ANALYSIS</w:t>
      </w:r>
    </w:p>
    <w:p>
      <w:pPr>
        <w:shd w:fill="EEF1F6" w:color="auto" w:val="clear"/>
        <w:spacing w:after="60" w:line="228" w:lineRule="auto"/>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spacing w:after="30" w:before="40" w:line="228" w:lineRule="auto"/>
      </w:pPr>
      <w:r>
        <w:rPr>
          <w:rFonts w:ascii="Arial" w:cs="Arial" w:eastAsia="Arial" w:hAnsi="Arial"/>
          <w:b/>
          <w:bCs/>
          <w:color w:val="14284B"/>
          <w:sz w:val="14"/>
          <w:szCs w:val="14"/>
        </w:rPr>
        <w:t xml:space="preserve">Figure 12: </w:t>
      </w:r>
      <w:r>
        <w:rPr>
          <w:rFonts w:ascii="Arial" w:cs="Arial" w:eastAsia="Arial" w:hAnsi="Arial"/>
          <w:color w:val="14284B"/>
          <w:sz w:val="14"/>
          <w:szCs w:val="14"/>
        </w:rPr>
        <w:t xml:space="preserve">Normalized ROE of 8–10% is the real return; reported ROE is appraisal-driven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w:t>
            </w:r>
          </w:p>
        </w:tc>
      </w:tr>
    </w:tbl>
    <w:p>
      <w:pPr>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spacing w:after="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Reported earnings track the appraiser; FFO tracks the business</w:t>
            </w:r>
          </w:p>
          <w:p>
            <w:pPr>
              <w:spacing w:after="60" w:before="0" w:line="228" w:lineRule="auto"/>
              <w:jc w:val="both"/>
            </w:pPr>
            <w:r>
              <w:rPr>
                <w:rFonts w:ascii="Arial" w:cs="Arial" w:eastAsia="Arial" w:hAnsi="Arial"/>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12). About two-thirds of Chile's 29% uplift came from a lower appraisal discount rate, not from higher NOI.</w:t>
            </w:r>
          </w:p>
          <w:p>
            <w:pPr>
              <w:spacing w:after="60" w:before="0" w:line="228" w:lineRule="auto"/>
              <w:jc w:val="both"/>
            </w:pPr>
            <w:r>
              <w:rPr>
                <w:rFonts w:ascii="Arial" w:cs="Arial" w:eastAsia="Arial" w:hAnsi="Arial"/>
                <w:color w:val="1A1A1A"/>
                <w:sz w:val="16"/>
                <w:szCs w:val="16"/>
              </w:rPr>
              <w:t xml:space="preserve">Excluding fair-value gains net of deferred tax, audited distributable profit was CLP 369bn and ROE 9.7%, the highest of the three local peers on a comparable basis (Appendix 14). FFO, which we rebuild from the statements to within 0.02% of the reported CLP 405bn (Figure 13), held a 59–62% margin over 2022–2025 while net income swung more than fourfold. FFO excludes the UF indexation of debt (CLP 44bn, 11% of FFO); distributable profit includes it and is our conservative earnings anchor.</w:t>
            </w:r>
          </w:p>
          <w:p>
            <w:pPr>
              <w:spacing w:after="60" w:before="0" w:line="228" w:lineRule="auto"/>
              <w:jc w:val="both"/>
            </w:pPr>
            <w:r>
              <w:rPr>
                <w:rFonts w:ascii="Arial" w:cs="Arial" w:eastAsia="Arial" w:hAnsi="Arial"/>
                <w:color w:val="1A1A1A"/>
                <w:sz w:val="16"/>
                <w:szCs w:val="16"/>
              </w:rPr>
              <w:t xml:space="preserve">Broken down, 2025 normalized ROE (9.7%) is a 56.5% normalized net margin times an asset turnover of only 0.097x and 1.77x accounting leverage. Turnover is low because the balance sheet is at fair value: each revaluation inflates assets and equity without bringing in more cash. We therefore forecast normalized ROE stable at around 8%, rising only with leverage, not with operations.</w:t>
            </w:r>
          </w:p>
          <w:p>
            <w:pPr>
              <w:keepNext/>
              <w:pBdr>
                <w:bottom w:val="single" w:color="E9004B" w:sz="8" w:space="1"/>
              </w:pBdr>
              <w:spacing w:after="50" w:before="90" w:line="228" w:lineRule="auto"/>
            </w:pPr>
            <w:r>
              <w:rPr>
                <w:rFonts w:ascii="Arial" w:cs="Arial" w:eastAsia="Arial" w:hAnsi="Arial"/>
                <w:b/>
                <w:bCs/>
                <w:color w:val="14284B"/>
                <w:sz w:val="16"/>
                <w:szCs w:val="16"/>
              </w:rPr>
              <w:t xml:space="preserve">Two-thirds of 2025 growth was bought; organic real growth is about 3%</w:t>
            </w:r>
          </w:p>
          <w:p>
            <w:pPr>
              <w:spacing w:after="60" w:before="0" w:line="228" w:lineRule="auto"/>
              <w:jc w:val="both"/>
            </w:pPr>
            <w:r>
              <w:rPr>
                <w:rFonts w:ascii="Arial" w:cs="Arial" w:eastAsia="Arial" w:hAnsi="Arial"/>
                <w:color w:val="1A1A1A"/>
                <w:sz w:val="16"/>
                <w:szCs w:val="16"/>
              </w:rPr>
              <w:t xml:space="preserve">Revenue rose 76% between 2022 and 2025, but 21.8pp of 2025's 32.2% came from perimeter: the Peruvian portfolio bought from Falabella, consolidated from 4 December 2024. Ex-Peru, revenue grew 10.7% in 2025 and 7.1% in 1H26.</w:t>
            </w:r>
          </w:p>
          <w:p>
            <w:pPr>
              <w:spacing w:after="60" w:before="0" w:line="228" w:lineRule="auto"/>
              <w:jc w:val="both"/>
            </w:pPr>
            <w:r>
              <w:rPr>
                <w:rFonts w:ascii="Arial" w:cs="Arial" w:eastAsia="Arial" w:hAnsi="Arial"/>
                <w:color w:val="1A1A1A"/>
                <w:sz w:val="16"/>
                <w:szCs w:val="16"/>
              </w:rPr>
              <w:t xml:space="preserve">Once currency and inflation are removed, 1H26 reported growth of 7.4% falls to about 3.0% real (Figure 14). Chile grew 2.8% after 3.1% UF indexation (5.1% in 2025); Peru 4.5% despite occupancy slipping to 93.8%; Colombia only about 1% once a 7.5% COP appreciation and 6.1% inflation are stripped out. In other words, roughly 60% of 1H26 reported growth came from prices and currency, not from more activity.</w:t>
            </w:r>
          </w:p>
          <w:p>
            <w:pPr>
              <w:spacing w:after="60" w:before="0" w:line="228" w:lineRule="auto"/>
              <w:jc w:val="both"/>
            </w:pPr>
            <w:r>
              <w:rPr>
                <w:rFonts w:ascii="Arial" w:cs="Arial" w:eastAsia="Arial" w:hAnsi="Arial"/>
                <w:color w:val="1A1A1A"/>
                <w:sz w:val="16"/>
                <w:szCs w:val="16"/>
              </w:rPr>
              <w:t xml:space="preserve">Growth is contractual, not sales-driven. Variable rent is 5.1% of revenue and fell 1.1% in 1H26 while tenant sales rose 6.7%, because minimum rents (same-store rent +5.5%) are outpacing tenant sales (same-store sales +3.7%). Revenue is therefore bond-like, but its real growth is converging on the 0.4–0.9% the company assumes for Chile in its own appraisal.</w:t>
            </w:r>
          </w:p>
          <w:p>
            <w:pPr>
              <w:keepNext/>
              <w:pBdr>
                <w:bottom w:val="single" w:color="E9004B" w:sz="8" w:space="1"/>
              </w:pBdr>
              <w:spacing w:after="50" w:before="90" w:line="228" w:lineRule="auto"/>
            </w:pPr>
            <w:r>
              <w:rPr>
                <w:rFonts w:ascii="Arial" w:cs="Arial" w:eastAsia="Arial" w:hAnsi="Arial"/>
                <w:b/>
                <w:bCs/>
                <w:color w:val="14284B"/>
                <w:sz w:val="16"/>
                <w:szCs w:val="16"/>
              </w:rPr>
              <w:t xml:space="preserve">Margin gains came from mix and cost recovery; operating leverage is spent</w:t>
            </w:r>
          </w:p>
          <w:p>
            <w:pPr>
              <w:spacing w:after="60" w:before="0" w:line="228" w:lineRule="auto"/>
              <w:jc w:val="both"/>
            </w:pPr>
            <w:r>
              <w:rPr>
                <w:rFonts w:ascii="Arial" w:cs="Arial" w:eastAsia="Arial" w:hAnsi="Arial"/>
                <w:color w:val="1A1A1A"/>
                <w:sz w:val="16"/>
                <w:szCs w:val="16"/>
              </w:rPr>
              <w:t xml:space="preserve">EBITDA margin rose from 76.2% in 2022 to 80.5% in 2025 for two reasons. Peru consolidates at an 83% segment margin, against 80% in Chile and 73% in Colombia. Chile's margin gained 2.4pp on a higher recovery of common charges, which are presented net of cost (Note 2.20): real, but dependent on occupancy and tenant negotiations, so not structural.</w:t>
            </w:r>
          </w:p>
          <w:p>
            <w:pPr>
              <w:spacing w:after="60" w:before="0" w:line="228" w:lineRule="auto"/>
              <w:jc w:val="both"/>
            </w:pPr>
            <w:r>
              <w:rPr>
                <w:rFonts w:ascii="Arial" w:cs="Arial" w:eastAsia="Arial" w:hAnsi="Arial"/>
                <w:color w:val="1A1A1A"/>
                <w:sz w:val="16"/>
                <w:szCs w:val="16"/>
              </w:rPr>
              <w:t xml:space="preserve">With cost of sales at 6% of revenue and total operating costs near 20%, little fixed cost is left to dilute; with D&amp;A at 0.7% of revenue, EBIT (CLP 523bn in 2025) tracks EBITDA. In 1H26 EBITDA grew 7.4%, in line with revenue, and margin held at 79.7%. Administrative expense rose 18.1% on payroll (+18.9%: CEO transition and a full year of Peru), a bad-debt charge rebounding from a 2025 base flattered by recoveries (0.64% of revenue, below 1.22% in 2024), and a one-off Colombian wealth tax of CLP 1.7bn. Excluding the last two, 1H26 margin would be 80.4%, up 0.7pp.</w:t>
            </w:r>
          </w:p>
          <w:p>
            <w:pPr>
              <w:spacing w:after="60" w:before="0" w:line="228" w:lineRule="auto"/>
              <w:jc w:val="both"/>
            </w:pPr>
            <w:r>
              <w:rPr>
                <w:rFonts w:ascii="Arial" w:cs="Arial" w:eastAsia="Arial" w:hAnsi="Arial"/>
                <w:color w:val="1A1A1A"/>
                <w:sz w:val="16"/>
                <w:szCs w:val="16"/>
              </w:rPr>
              <w:t xml:space="preserve">Operating costs have already fallen from 23.8% of revenue in 2023 to 20.1% in 2025 (Appendix 11), so there is little left for the margin to gain: from here, EBITDA grows with rents, not with efficiency.</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13: </w:t>
            </w:r>
            <w:r>
              <w:rPr>
                <w:rFonts w:ascii="Arial" w:cs="Arial" w:eastAsia="Arial" w:hAnsi="Arial"/>
                <w:color w:val="14284B"/>
                <w:sz w:val="14"/>
                <w:szCs w:val="14"/>
              </w:rPr>
              <w:t xml:space="preserve">Removing fair-value gains and non-cash items turns CLP 1,441bn of profit into CLP 408bn of FFO (CLP bn)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p>
            <w:pPr>
              <w:spacing w:after="30" w:before="90" w:line="228" w:lineRule="auto"/>
            </w:pPr>
            <w:r>
              <w:rPr>
                <w:rFonts w:ascii="Arial" w:cs="Arial" w:eastAsia="Arial" w:hAnsi="Arial"/>
                <w:b/>
                <w:bCs/>
                <w:color w:val="14284B"/>
                <w:sz w:val="14"/>
                <w:szCs w:val="14"/>
              </w:rPr>
              <w:t xml:space="preserve">Figure 14: </w:t>
            </w:r>
            <w:r>
              <w:rPr>
                <w:rFonts w:ascii="Arial" w:cs="Arial" w:eastAsia="Arial" w:hAnsi="Arial"/>
                <w:color w:val="14284B"/>
                <w:sz w:val="14"/>
                <w:szCs w:val="14"/>
              </w:rPr>
              <w:t xml:space="preserve">Two-thirds of 2025 growth was bought; in 1H26 currency and inflation explain more than half</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p>
            <w:pPr>
              <w:spacing w:after="30" w:before="90" w:line="228" w:lineRule="auto"/>
            </w:pPr>
            <w:r>
              <w:rPr>
                <w:rFonts w:ascii="Arial" w:cs="Arial" w:eastAsia="Arial" w:hAnsi="Arial"/>
                <w:b/>
                <w:bCs/>
                <w:color w:val="14284B"/>
                <w:sz w:val="14"/>
                <w:szCs w:val="14"/>
              </w:rPr>
              <w:t xml:space="preserve">Figure 15: </w:t>
            </w:r>
            <w:r>
              <w:rPr>
                <w:rFonts w:ascii="Arial" w:cs="Arial" w:eastAsia="Arial" w:hAnsi="Arial"/>
                <w:color w:val="14284B"/>
                <w:sz w:val="14"/>
                <w:szCs w:val="14"/>
              </w:rPr>
              <w:t xml:space="preserve">Free cash flow covers dividends 1.5–2.6x even as capex rises (FY2025, CLP bn)</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Cash covers the dividend 2.6x; the ceiling is policy, not liquidity</w:t>
            </w:r>
          </w:p>
          <w:p>
            <w:pPr>
              <w:spacing w:after="60" w:before="0" w:line="228" w:lineRule="auto"/>
              <w:jc w:val="both"/>
            </w:pPr>
            <w:r>
              <w:rPr>
                <w:rFonts w:ascii="Arial" w:cs="Arial" w:eastAsia="Arial" w:hAnsi="Arial"/>
                <w:color w:val="1A1A1A"/>
                <w:sz w:val="16"/>
                <w:szCs w:val="16"/>
              </w:rPr>
              <w:t xml:space="preserve">Operating cash flow rose from CLP 301bn in 2024 to CLP 441bn in 2025, converting 98.7% of EBITDA before tax. Cash tax was only 15% of operating profit, sheltered by tax goodwill from Chilean reorganizations and loss carry-forwards (Note 13), and will rise toward the 27% statutory rate. After capex and net interest, free cash flow before debt service was CLP 280bn, covering dividends 2.6x (Figure 15).</w:t>
            </w:r>
          </w:p>
          <w:p>
            <w:pPr>
              <w:spacing w:after="60" w:before="0" w:line="228" w:lineRule="auto"/>
              <w:jc w:val="both"/>
            </w:pPr>
            <w:r>
              <w:rPr>
                <w:rFonts w:ascii="Arial" w:cs="Arial" w:eastAsia="Arial" w:hAnsi="Arial"/>
                <w:color w:val="1A1A1A"/>
                <w:sz w:val="16"/>
                <w:szCs w:val="16"/>
              </w:rPr>
              <w:t xml:space="preserve">The 38.6% jump in 1H26 operating cash flow is not earnings power: 59% of it was December collections unwinding through working capital. Receivable days fell from 66 to 50, with no sign of weaker collection.</w:t>
            </w:r>
          </w:p>
          <w:p>
            <w:pPr>
              <w:spacing w:after="60" w:before="0" w:line="228" w:lineRule="auto"/>
              <w:jc w:val="both"/>
            </w:pPr>
            <w:r>
              <w:rPr>
                <w:rFonts w:ascii="Arial" w:cs="Arial" w:eastAsia="Arial" w:hAnsi="Arial"/>
                <w:color w:val="1A1A1A"/>
                <w:sz w:val="16"/>
                <w:szCs w:val="16"/>
              </w:rPr>
              <w:t xml:space="preserve">The dividend policy pays out 40% of distributable profit with a one-year lag, so retained cash is high: CLP 171.6bn in 2025. In the base case, FFO rises from CLP 428.5bn in 2026E to CLP 501.6bn in 2031E and ordinary dividends from CLP 147.7bn to 172.6bn; the remaining cash, together with new debt, funds capex and the additional distributions (Appendix 13).</w:t>
            </w:r>
          </w:p>
          <w:p>
            <w:pPr>
              <w:spacing w:after="60" w:before="0" w:line="228" w:lineRule="auto"/>
              <w:jc w:val="both"/>
            </w:pPr>
            <w:r>
              <w:rPr>
                <w:rFonts w:ascii="Arial" w:cs="Arial" w:eastAsia="Arial" w:hAnsi="Arial"/>
                <w:color w:val="1A1A1A"/>
                <w:sz w:val="16"/>
                <w:szCs w:val="16"/>
              </w:rPr>
              <w:t xml:space="preserve">Capex is stepping up. Contractual investment commitments rose to CLP 78bn at June 2026 from CLP 18bn in December 2025, and 1H26 property capex was CLP 81bn (+176%). The base case funds USD 445m of remaining pipeline over 2026–2028 and then keeps adding about 27,000 m² of GLA a year, the 2022–2025 organic pace, so capex settles near 16% of revenue rather than the 5.5% maintenance floor (Figure 18).</w:t>
            </w:r>
          </w:p>
          <w:p>
            <w:pPr>
              <w:keepNext/>
              <w:pBdr>
                <w:bottom w:val="single" w:color="E9004B" w:sz="8" w:space="1"/>
              </w:pBdr>
              <w:spacing w:after="50" w:before="90" w:line="228" w:lineRule="auto"/>
            </w:pPr>
            <w:r>
              <w:rPr>
                <w:rFonts w:ascii="Arial" w:cs="Arial" w:eastAsia="Arial" w:hAnsi="Arial"/>
                <w:b/>
                <w:bCs/>
                <w:color w:val="14284B"/>
                <w:sz w:val="16"/>
                <w:szCs w:val="16"/>
              </w:rPr>
              <w:t xml:space="preserve">Cash-flow metrics earn the AAA; equity-based ratios flatter it</w:t>
            </w:r>
          </w:p>
          <w:p>
            <w:pPr>
              <w:spacing w:after="60" w:before="0" w:line="228" w:lineRule="auto"/>
              <w:jc w:val="both"/>
            </w:pPr>
            <w:r>
              <w:rPr>
                <w:rFonts w:ascii="Arial" w:cs="Arial" w:eastAsia="Arial" w:hAnsi="Arial"/>
                <w:color w:val="1A1A1A"/>
                <w:sz w:val="16"/>
                <w:szCs w:val="16"/>
              </w:rPr>
              <w:t xml:space="preserve">LTV fell from 26.9% to 18.8% in 2025, but 5.0pp of the 8.0pp drop came from revaluing the denominator; with property at 2024 value plus additions, LTV would have been 23.8% (Figure 16). Cash-flow metrics are the honest lens and support Feller Rate's upgrade to AAA (25 September 2026): net debt/EBITDA fell from 3.78x to 2.36x on June 2026 LTM EBITDA (the 2024 figure includes only one month of Peru), and EBITDA covers financial costs 8.4x.</w:t>
            </w:r>
          </w:p>
          <w:p>
            <w:pPr>
              <w:spacing w:after="60" w:before="0" w:line="228" w:lineRule="auto"/>
              <w:jc w:val="both"/>
            </w:pPr>
            <w:r>
              <w:rPr>
                <w:rFonts w:ascii="Arial" w:cs="Arial" w:eastAsia="Arial" w:hAnsi="Arial"/>
                <w:color w:val="1A1A1A"/>
                <w:sz w:val="16"/>
                <w:szCs w:val="16"/>
              </w:rPr>
              <w:t xml:space="preserve">Gross debt of CLP 1,633bn is 79% UF, 14% PEN and 7% COP, matching revenue currencies; 95% is long term, with a 6.6-year duration. The UF bonds carry a 3.36% real coupon (3.48% effective), but with UF indexation the all-in nominal cost was about 7% in 2025. Maturities cluster in 2029, 2031 and 2033 (Figure 17); refinancing series S (1.32% effective) at the latest issue's 4.33% would add about CLP 4.9bn a year. Liquidity is ample: at June 2026 the current ratio was 2.50x and cash covered current liabilities 1.71x.</w:t>
            </w:r>
          </w:p>
          <w:p>
            <w:pPr>
              <w:spacing w:after="60" w:before="0" w:line="228" w:lineRule="auto"/>
              <w:jc w:val="both"/>
            </w:pPr>
            <w:r>
              <w:rPr>
                <w:rFonts w:ascii="Arial" w:cs="Arial" w:eastAsia="Arial" w:hAnsi="Arial"/>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1.8tn cumulatively over 2H26E–2031E (Appendix 13). At 3.5x the new AAA would likely come under pressure.</w:t>
            </w:r>
          </w:p>
          <w:p>
            <w:pPr>
              <w:spacing w:after="60" w:before="0" w:line="228" w:lineRule="auto"/>
              <w:jc w:val="both"/>
            </w:pPr>
            <w:r>
              <w:rPr>
                <w:rFonts w:ascii="Arial" w:cs="Arial" w:eastAsia="Arial" w:hAnsi="Arial"/>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10). Against peers the balance sheet is conservative: LTV of 18.8% versus 42.9% at Parque Arauco and 16.3% at Cencosud Shopping, and net debt/EBITDA of 2.49x versus 5.68x and 2.11x (Appendix 14).</w:t>
            </w:r>
          </w:p>
          <w:p>
            <w:pPr>
              <w:keepNext/>
              <w:pBdr>
                <w:bottom w:val="single" w:color="E9004B" w:sz="8" w:space="1"/>
              </w:pBdr>
              <w:spacing w:after="50" w:before="90" w:line="228" w:lineRule="auto"/>
            </w:pPr>
            <w:r>
              <w:rPr>
                <w:rFonts w:ascii="Arial" w:cs="Arial" w:eastAsia="Arial" w:hAnsi="Arial"/>
                <w:b/>
                <w:bCs/>
                <w:color w:val="14284B"/>
                <w:sz w:val="16"/>
                <w:szCs w:val="16"/>
              </w:rPr>
              <w:t xml:space="preserve">The forecast carries forward what history supports, including the pace of expansion</w:t>
            </w:r>
          </w:p>
          <w:p>
            <w:pPr>
              <w:spacing w:after="60" w:before="0" w:line="228" w:lineRule="auto"/>
              <w:jc w:val="both"/>
            </w:pPr>
            <w:r>
              <w:rPr>
                <w:rFonts w:ascii="Arial" w:cs="Arial" w:eastAsia="Arial" w:hAnsi="Arial"/>
                <w:color w:val="1A1A1A"/>
                <w:sz w:val="16"/>
                <w:szCs w:val="16"/>
              </w:rPr>
              <w:t xml:space="preserve">Revenue grows 7.7% in 2026E and 5.0% in 2031E (2026E–2031E CAGR 6.4%), as real same-store growth converges to the appraisal midpoints, 123,700 m² of dated pipeline matures and, from 2029E, about 27,000 m² a year opens at the historical pace (Figure 18); 2026E and 2027E revenue sit within 0.6% of consensus. EBITDA margin stays at 79.7–79.8%, below the 2025 peak. Cash tax normalizes from 16.8% to 27% by 2030E and financial costs rise with leverage, so FFO margin slides from 60.9% to 52.2%. Working capital is held at 15.6% of revenue, the December 2025 level (Appendix 9). New GLA yields 6.9% on cost, a 5.0% real return after tax against a 7.2% real WACC: expansion adds revenue but not value.</w:t>
            </w:r>
          </w:p>
          <w:p>
            <w:pPr>
              <w:keepNext/>
              <w:pBdr>
                <w:bottom w:val="single" w:color="E9004B" w:sz="8" w:space="1"/>
              </w:pBdr>
              <w:spacing w:after="50" w:before="90" w:line="228" w:lineRule="auto"/>
            </w:pPr>
            <w:r>
              <w:rPr>
                <w:rFonts w:ascii="Arial" w:cs="Arial" w:eastAsia="Arial" w:hAnsi="Arial"/>
                <w:b/>
                <w:bCs/>
                <w:color w:val="14284B"/>
                <w:sz w:val="16"/>
                <w:szCs w:val="16"/>
              </w:rPr>
              <w:t xml:space="preserve">What this means for valuation</w:t>
            </w:r>
          </w:p>
          <w:p>
            <w:pPr>
              <w:spacing w:after="60" w:before="0" w:line="228" w:lineRule="auto"/>
              <w:jc w:val="both"/>
            </w:pPr>
            <w:r>
              <w:rPr>
                <w:rFonts w:ascii="Arial" w:cs="Arial" w:eastAsia="Arial" w:hAnsi="Arial"/>
                <w:color w:val="1A1A1A"/>
                <w:sz w:val="16"/>
                <w:szCs w:val="16"/>
              </w:rPr>
              <w:t xml:space="preserve">The analysis leaves three conclusions for the model. First, the right earnings base is cash: we use the company's EBITDA, which removes revaluation once (Appendix 12), and distributable profit as the anchor, not the CLP 1,431bn accounting profit. Second, business quality is not in doubt: Mallplaza earns the highest normalized ROE of its local peers (9.7% against 7.8% at Parque Arauco and 8.0% at Cencosud Shopping) with an LTV of only 18.8% (Appendix 14).</w:t>
            </w:r>
          </w:p>
          <w:p>
            <w:pPr>
              <w:spacing w:after="60" w:before="0" w:line="228" w:lineRule="auto"/>
              <w:jc w:val="both"/>
            </w:pPr>
            <w:r>
              <w:rPr>
                <w:rFonts w:ascii="Arial" w:cs="Arial" w:eastAsia="Arial" w:hAnsi="Arial"/>
                <w:color w:val="1A1A1A"/>
                <w:sz w:val="16"/>
                <w:szCs w:val="16"/>
              </w:rPr>
              <w:t xml:space="preserve">Third, the return on capital at fair value is low. 2025 ROIC, with NOPAT at 27% over invested capital at appraised value, was 7.3% (Appendix 11), below a 10.4% nominal WACC: the properties are worth more on the books than their cash flows justify at our rate.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16: </w:t>
            </w:r>
            <w:r>
              <w:rPr>
                <w:rFonts w:ascii="Arial" w:cs="Arial" w:eastAsia="Arial" w:hAnsi="Arial"/>
                <w:color w:val="14284B"/>
                <w:sz w:val="14"/>
                <w:szCs w:val="14"/>
              </w:rPr>
              <w:t xml:space="preserve">Two-thirds of the 2025 fall in LTV is revaluation, not deleveraging</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p>
            <w:pPr>
              <w:spacing w:after="30" w:before="90" w:line="228" w:lineRule="auto"/>
            </w:pPr>
            <w:r>
              <w:rPr>
                <w:rFonts w:ascii="Arial" w:cs="Arial" w:eastAsia="Arial" w:hAnsi="Arial"/>
                <w:b/>
                <w:bCs/>
                <w:color w:val="14284B"/>
                <w:sz w:val="14"/>
                <w:szCs w:val="14"/>
              </w:rPr>
              <w:t xml:space="preserve">Figure 17: </w:t>
            </w:r>
            <w:r>
              <w:rPr>
                <w:rFonts w:ascii="Arial" w:cs="Arial" w:eastAsia="Arial" w:hAnsi="Arial"/>
                <w:color w:val="14284B"/>
                <w:sz w:val="14"/>
                <w:szCs w:val="14"/>
              </w:rPr>
              <w:t xml:space="preserve">Refinancing risk sits in 2029, 2031 and 2033, not in the near term</w:t>
            </w:r>
          </w:p>
          <w:p>
            <w:pPr>
              <w:spacing w:after="20" w:before="0" w:line="240" w:lineRule="auto"/>
            </w:pPr>
            <w:r>
              <w:drawing>
                <wp:inline distT="0" distB="0" distL="0" distR="0">
                  <wp:extent cx="2257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257425" cy="20097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p>
            <w:pPr>
              <w:spacing w:after="30" w:before="90" w:line="228" w:lineRule="auto"/>
            </w:pPr>
            <w:r>
              <w:rPr>
                <w:rFonts w:ascii="Arial" w:cs="Arial" w:eastAsia="Arial" w:hAnsi="Arial"/>
                <w:b/>
                <w:bCs/>
                <w:color w:val="14284B"/>
                <w:sz w:val="14"/>
                <w:szCs w:val="14"/>
              </w:rPr>
              <w:t xml:space="preserve">Figure 18: </w:t>
            </w:r>
            <w:r>
              <w:rPr>
                <w:rFonts w:ascii="Arial" w:cs="Arial" w:eastAsia="Arial" w:hAnsi="Arial"/>
                <w:color w:val="14284B"/>
                <w:sz w:val="14"/>
                <w:szCs w:val="14"/>
              </w:rPr>
              <w:t xml:space="preserve">After the pipeline, expansion keeps capex near CLP 150bn a year while leverage rebuilds to 3.5x</w:t>
            </w:r>
          </w:p>
          <w:p>
            <w:pPr>
              <w:spacing w:after="20" w:before="0" w:line="240" w:lineRule="auto"/>
            </w:pPr>
            <w:r>
              <w:drawing>
                <wp:inline distT="0" distB="0" distL="0" distR="0">
                  <wp:extent cx="2257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257425" cy="26955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2026E includes CLP 84.2bn spent in 1H26; 2024A leverage includes one month of Peru EBITDA. Source: Plaza S.A. financial statements (CMF); 2Q26 results release (pipeline); valuation base case (Appendices 9 and 13).</w:t>
            </w:r>
          </w:p>
        </w:tc>
      </w:tr>
    </w:tbl>
    <w:p>
      <w:pPr>
        <w:sectPr>
          <w:headerReference w:type="default" r:id="rId13"/>
          <w:footerReference w:type="default" r:id="rId14"/>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before="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 and the most favourable multiples fall short too (Figure 19).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19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pBdr>
                <w:bottom w:val="single" w:color="E9004B" w:sz="8" w:space="1"/>
              </w:pBdr>
              <w:spacing w:after="50" w:before="90"/>
            </w:pPr>
            <w:r>
              <w:rPr>
                <w:rFonts w:ascii="Arial" w:cs="Arial" w:eastAsia="Arial" w:hAnsi="Arial"/>
                <w:b/>
                <w:bCs/>
                <w:color w:val="14284B"/>
                <w:sz w:val="16"/>
                <w:szCs w:val="16"/>
              </w:rPr>
              <w:t xml:space="preserve">THE STORY IS IN THE RATE</w:t>
            </w:r>
          </w:p>
          <w:p>
            <w:pPr>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15). The CLP 1,857 per share is CLP 583 of explicit cash flows and CLP 1,884 of terminal value, less CLP 610 of debt and minorities: the result depends, above all, on the discount rate.</w:t>
            </w:r>
          </w:p>
          <w:p>
            <w:pPr>
              <w:spacing w:after="60" w:before="0" w:line="228" w:lineRule="auto"/>
              <w:jc w:val="both"/>
            </w:pP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Ke (Rf 4.98%, relevered beta of 1.14 from a six-peer median of 0.94, ERP 4.14% and a 1.41% revenue-weighted CRP) and a 5.11% after-tax Kd based on the 3.6% real coupon of the latest bond (Appendix 19).</w:t>
            </w:r>
          </w:p>
          <w:p>
            <w:pPr>
              <w:spacing w:after="60" w:before="0" w:line="228" w:lineRule="auto"/>
              <w:jc w:val="both"/>
            </w:pPr>
            <w:r>
              <w:rPr>
                <w:rFonts w:ascii="Arial" w:cs="Arial" w:eastAsia="Arial" w:hAnsi="Arial"/>
                <w:color w:val="1A1A1A"/>
                <w:sz w:val="16"/>
                <w:szCs w:val="16"/>
              </w:rPr>
              <w:t xml:space="preserve">We build Ke in dollars because its three inputs are in that currency: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The beta starts from unlevering six regional peers with Hamada and is relevered each period with Mallplaza's structure, which is why it moves from 1.09 in 2H26E to 1.14 in the terminal period.</w:t>
            </w:r>
          </w:p>
          <w:p>
            <w:pPr>
              <w:spacing w:after="60" w:before="0" w:line="228" w:lineRule="auto"/>
              <w:jc w:val="both"/>
            </w:pPr>
            <w:r>
              <w:rPr>
                <w:rFonts w:ascii="Arial" w:cs="Arial" w:eastAsia="Arial" w:hAnsi="Arial"/>
                <w:color w:val="1A1A1A"/>
                <w:sz w:val="16"/>
                <w:szCs w:val="16"/>
              </w:rPr>
              <w:t xml:space="preserve">Here the first signal appears: at CLP 3,555, equity yields ~4.4% real, just 80 bp above the company's own real cost of debt (Figure 20). The market is pricing the stock almost as if it were a bond.</w:t>
            </w:r>
          </w:p>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spacing w:after="60" w:before="0" w:line="228" w:lineRule="auto"/>
              <w:jc w:val="both"/>
            </w:pPr>
            <w:r>
              <w:rPr>
                <w:rFonts w:ascii="Arial" w:cs="Arial" w:eastAsia="Arial" w:hAnsi="Arial"/>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21). These are assumptions the team can defend line by line (Appendix 16).</w:t>
            </w:r>
          </w:p>
          <w:p>
            <w:pPr>
              <w:spacing w:after="60" w:before="0" w:line="228" w:lineRule="auto"/>
              <w:jc w:val="both"/>
            </w:pPr>
            <w:r>
              <w:rPr>
                <w:rFonts w:ascii="Arial" w:cs="Arial" w:eastAsia="Arial" w:hAnsi="Arial"/>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p>
            <w:pPr>
              <w:spacing w:after="60" w:before="0" w:line="228" w:lineRule="auto"/>
              <w:jc w:val="both"/>
            </w:pPr>
            <w:r>
              <w:rPr>
                <w:rFonts w:ascii="Arial" w:cs="Arial" w:eastAsia="Arial" w:hAnsi="Arial"/>
                <w:color w:val="1A1A1A"/>
                <w:sz w:val="16"/>
                <w:szCs w:val="16"/>
              </w:rPr>
              <w:t xml:space="preserve">The problem is the return on growth. Each new m² yields 6.9% on cost, a 5.0% real RONIC after tax, below a 7.2% real WACC. Expansion adds revenue but not value, so terminal value grows only with inflation (g of 3.0% nominal, 0% real) and a higher g lowers value (Figure 22). Assuming more growth would not close the gap with the price; it would widen it.</w:t>
            </w:r>
          </w:p>
          <w:p>
            <w:pPr>
              <w:spacing w:after="60" w:before="0" w:line="228" w:lineRule="auto"/>
              <w:jc w:val="both"/>
            </w:pPr>
            <w:r>
              <w:rPr>
                <w:rFonts w:ascii="Arial" w:cs="Arial" w:eastAsia="Arial" w:hAnsi="Arial"/>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This is not a conservative assumption against the company; at these returns, growing more would reduce its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19: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p>
            <w:pPr>
              <w:spacing w:after="30" w:before="90" w:line="228" w:lineRule="auto"/>
            </w:pPr>
            <w:r>
              <w:rPr>
                <w:rFonts w:ascii="Arial" w:cs="Arial" w:eastAsia="Arial" w:hAnsi="Arial"/>
                <w:b/>
                <w:bCs/>
                <w:color w:val="14284B"/>
                <w:sz w:val="14"/>
                <w:szCs w:val="14"/>
              </w:rPr>
              <w:t xml:space="preserve">Figure 20: </w:t>
            </w:r>
            <w:r>
              <w:rPr>
                <w:rFonts w:ascii="Arial" w:cs="Arial" w:eastAsia="Arial" w:hAnsi="Arial"/>
                <w:color w:val="14284B"/>
                <w:sz w:val="14"/>
                <w:szCs w:val="14"/>
              </w:rPr>
              <w:t xml:space="preserve">At CLP 3,555 equity yields almost the same as debt</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90" w:line="228" w:lineRule="auto"/>
            </w:pPr>
            <w:r>
              <w:rPr>
                <w:rFonts w:ascii="Arial" w:cs="Arial" w:eastAsia="Arial" w:hAnsi="Arial"/>
                <w:b/>
                <w:bCs/>
                <w:color w:val="14284B"/>
                <w:sz w:val="14"/>
                <w:szCs w:val="14"/>
              </w:rPr>
              <w:t xml:space="preserve">Figure 21: </w:t>
            </w:r>
            <w:r>
              <w:rPr>
                <w:rFonts w:ascii="Arial" w:cs="Arial" w:eastAsia="Arial" w:hAnsi="Arial"/>
                <w:color w:val="14284B"/>
                <w:sz w:val="14"/>
                <w:szCs w:val="14"/>
              </w:rPr>
              <w:t xml:space="preserve">Working capital: an assumption that does not move the price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financial statements; Team analysis.</w:t>
            </w:r>
          </w:p>
          <w:p>
            <w:pPr>
              <w:spacing w:after="30" w:before="90" w:line="228" w:lineRule="auto"/>
            </w:pPr>
            <w:r>
              <w:rPr>
                <w:rFonts w:ascii="Arial" w:cs="Arial" w:eastAsia="Arial" w:hAnsi="Arial"/>
                <w:b/>
                <w:bCs/>
                <w:color w:val="14284B"/>
                <w:sz w:val="14"/>
                <w:szCs w:val="14"/>
              </w:rPr>
              <w:t xml:space="preserve">Figure 22: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SIZE</w:t>
            </w:r>
          </w:p>
          <w:p>
            <w:pPr>
              <w:spacing w:after="60" w:before="0" w:line="228" w:lineRule="auto"/>
              <w:jc w:val="both"/>
            </w:pP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over the local rate is similar in both countries, 385 bp in Chile and 302 bp in Brazil (Figure 23).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17).</w:t>
            </w:r>
          </w:p>
          <w:p>
            <w:pPr>
              <w:spacing w:after="60" w:before="0" w:line="228" w:lineRule="auto"/>
              <w:jc w:val="both"/>
            </w:pPr>
            <w:r>
              <w:rPr>
                <w:rFonts w:ascii="Arial" w:cs="Arial" w:eastAsia="Arial" w:hAnsi="Arial"/>
                <w:color w:val="1A1A1A"/>
                <w:sz w:val="16"/>
                <w:szCs w:val="16"/>
              </w:rPr>
              <w:t xml:space="preserve">Macro explains the difference. At 30-Jun-26 Brazil had a 14.25% Selic, a 14.34% nominal 10-year bond and 5.3% expected 2026 inflation, against a 4.5% policy rate, a 5.43% nominal bond and 4.1% inflation in Chile, with similar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spacing w:after="60" w:before="0" w:line="228" w:lineRule="auto"/>
              <w:jc w:val="both"/>
            </w:pPr>
            <w:r>
              <w:rPr>
                <w:rFonts w:ascii="Arial" w:cs="Arial" w:eastAsia="Arial" w:hAnsi="Arial"/>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24): multiples confirm the stock is expensive, and the DCF sets the size of the gap. We exclude P/E (CLP 8,644), distorted by property revaluation.</w:t>
            </w:r>
          </w:p>
          <w:p>
            <w:pPr>
              <w:spacing w:after="60" w:before="0" w:line="228" w:lineRule="auto"/>
              <w:jc w:val="both"/>
            </w:pPr>
            <w:r>
              <w:rPr>
                <w:rFonts w:ascii="Arial" w:cs="Arial" w:eastAsia="Arial" w:hAnsi="Arial"/>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color w:val="1A1A1A"/>
                <w:sz w:val="16"/>
                <w:szCs w:val="16"/>
              </w:rPr>
              <w:t xml:space="preserve">The price implies an EV of CLP 9.12 trillion, 69% above ours, and a 6.0% cap rate, against 10.1% in our DCF, 6.4% for Chilean peers and 7.5% at book value (Figure 25). The market pays 1.61x an equity base already at fair value, appraised at a ~5.55% real rate (Note 11): it pays more than the appraisers themselves. To justify CLP 3,555, the WACC would have to be 285 bp lower (Figure 26); even at the appraisers' rate, the DCF would be CLP 2,660.</w:t>
            </w:r>
          </w:p>
          <w:p>
            <w:pPr>
              <w:spacing w:after="60" w:before="0" w:line="228" w:lineRule="auto"/>
              <w:jc w:val="both"/>
            </w:pPr>
            <w:r>
              <w:rPr>
                <w:rFonts w:ascii="Arial" w:cs="Arial" w:eastAsia="Arial" w:hAnsi="Arial"/>
                <w:color w:val="1A1A1A"/>
                <w:sz w:val="16"/>
                <w:szCs w:val="16"/>
              </w:rPr>
              <w:t xml:space="preserve">We pushed the thesis to its extremes. In a bear case (WACC +100 bp and the 75.8% quarterly-low margin) the target falls to CLP 1,713; in a bull case combining WACC −100 bp, g of 2.5%, the 81.3% quarterly-peak margin and the cut in corporate tax to 23%, it rises to CLP 2,627, still 26% below the price. APV (CLP 1,894), a peso-bond Rf (~CLP 2,439) and other debt targets (DCF of CLP 1,819 to 1,894) lead to the same conclusion (Appendix 18).</w:t>
            </w:r>
          </w:p>
          <w:p>
            <w:pPr>
              <w:spacing w:after="60" w:before="0" w:line="228" w:lineRule="auto"/>
              <w:jc w:val="both"/>
            </w:pPr>
            <w:r>
              <w:rPr>
                <w:rFonts w:ascii="Arial" w:cs="Arial" w:eastAsia="Arial" w:hAnsi="Arial"/>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the peso bond (5.43%) and then adding country risk would count Chile risk twice, and even so the target price would only rise to ~CLP 2,439, 31% below the price. In other words, no reasonable choice of inputs rescues the current valuation; the gap is too wide to be a modelling artefact.</w:t>
            </w:r>
          </w:p>
          <w:p>
            <w:pPr>
              <w:spacing w:after="60" w:before="0" w:line="228" w:lineRule="auto"/>
              <w:jc w:val="both"/>
            </w:pPr>
            <w:r>
              <w:rPr>
                <w:rFonts w:ascii="Arial" w:cs="Arial" w:eastAsia="Arial" w:hAnsi="Arial"/>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spacing w:after="60" w:before="0" w:line="228" w:lineRule="auto"/>
              <w:jc w:val="both"/>
            </w:pPr>
            <w:r>
              <w:rPr>
                <w:rFonts w:ascii="Arial" w:cs="Arial" w:eastAsia="Arial" w:hAnsi="Arial"/>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spacing w:after="60" w:before="0" w:line="228" w:lineRule="auto"/>
              <w:jc w:val="both"/>
            </w:pPr>
            <w:r>
              <w:rPr>
                <w:rFonts w:ascii="Arial" w:cs="Arial" w:eastAsia="Arial" w:hAnsi="Arial"/>
                <w:color w:val="1A1A1A"/>
                <w:sz w:val="16"/>
                <w:szCs w:val="16"/>
              </w:rPr>
              <w:t xml:space="preserve">What we will watch: the Note 11 appraisal at each reporting date (the real discount rate is the bridge between our value and book), the spread of the company's UF bonds over their 3.6% coupon (at the latest issue's 4.33% effective rate, the WACC would rise 12 bp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 UF (Central Bank of Chile) and NTN-B 2035 (8.08%) at 30-Jun-26. Spread = cap rate (1 / EV/EBITDA) − real bond. IRSA omitted (IAS 29). Source: Bloomberg; Central Bank of Chile; Team analysis.</w:t>
            </w:r>
          </w:p>
          <w:p>
            <w:pPr>
              <w:spacing w:after="30" w:before="9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p>
            <w:pPr>
              <w:spacing w:after="30" w:before="9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The price requires a WACC 285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p>
      <w:pPr>
        <w:sectPr>
          <w:headerReference w:type="default" r:id="rId15"/>
          <w:footerReference w:type="default" r:id="rId16"/>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27 classifies each risk by likelihood and by its impact on value per share (Figures 28 to 26). Risks that could not be quantified are classified according to the team's qualitative analysis of the company.</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28). </w:t>
            </w:r>
            <w:r>
              <w:rPr>
                <w:rFonts w:ascii="Arial" w:cs="Arial" w:eastAsia="Arial" w:hAnsi="Arial"/>
                <w:i/>
                <w:iCs/>
                <w:color w:val="5F5F5F"/>
                <w:sz w:val="16"/>
                <w:szCs w:val="16"/>
              </w:rPr>
              <w:t xml:space="preserve">(Non‑systematic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28). </w:t>
            </w:r>
            <w:r>
              <w:rPr>
                <w:rFonts w:ascii="Arial" w:cs="Arial" w:eastAsia="Arial" w:hAnsi="Arial"/>
                <w:i/>
                <w:iCs/>
                <w:color w:val="5F5F5F"/>
                <w:sz w:val="16"/>
                <w:szCs w:val="16"/>
              </w:rPr>
              <w:t xml:space="preserve">(Non‑systematic · Low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29).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30). The risk is that weaker consumption prevents passing the UF through to rents: without that pass-through, UF +3% takes 0.9% off the target price. Weaker consumption also slows the new business lines (Appendix 20). </w:t>
            </w:r>
            <w:r>
              <w:rPr>
                <w:rFonts w:ascii="Arial" w:cs="Arial" w:eastAsia="Arial" w:hAnsi="Arial"/>
                <w:i/>
                <w:iCs/>
                <w:color w:val="5F5F5F"/>
                <w:sz w:val="16"/>
                <w:szCs w:val="16"/>
              </w:rPr>
              <w:t xml:space="preserve">(Systematic · High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28).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Risk matrix</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Operational risk tornado (CLP per share)</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spacing w:after="30" w:before="10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Target price sensitivity: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spacing w:after="30" w:before="10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Target price sensitivity to a rise in the UF (CLP per share)</w:t>
            </w:r>
          </w:p>
          <w:p>
            <w:pPr>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p>
      <w:pPr>
        <w:sectPr>
          <w:headerReference w:type="default" r:id="rId17"/>
          <w:footerReference w:type="default" r:id="rId18"/>
          <w:type w:val="continuous"/>
          <w:pgSz w:w="11906" w:h="16838" w:orient="portrait"/>
          <w:pgMar w:top="1000" w:right="620" w:bottom="900" w:left="620" w:header="450" w:footer="400" w:gutter="0"/>
          <w:pgNumType/>
          <w:docGrid w:linePitch="360"/>
        </w:sectPr>
      </w:pPr>
    </w:p>
    <w:p>
      <w:pPr>
        <w:spacing w:before="1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0666"/>
      </w:tblGrid>
      <w:tr>
        <w:trPr>
          <w:cantSplit/>
        </w:trPr>
        <w:tc>
          <w:tcPr>
            <w:tcW w:type="dxa" w:w="10666"/>
            <w:tcBorders>
              <w:top w:val="none" w:color="FFFFFF" w:sz="0"/>
              <w:left w:val="none" w:color="FFFFFF" w:sz="0"/>
              <w:bottom w:val="none" w:color="FFFFFF" w:sz="0"/>
              <w:right w:val="none" w:color="FFFFFF" w:sz="0"/>
            </w:tcBorders>
            <w:vAlign w:val="top"/>
          </w:tcPr>
          <w:p>
            <w:pPr>
              <w:pBdr>
                <w:bottom w:val="single" w:color="14284B" w:sz="18" w:space="2"/>
              </w:pBdr>
              <w:spacing w:after="80"/>
            </w:pPr>
            <w:r>
              <w:rPr>
                <w:rFonts w:ascii="Arial" w:cs="Arial" w:eastAsia="Arial" w:hAnsi="Arial"/>
                <w:b/>
                <w:bCs/>
                <w:color w:val="14284B"/>
                <w:sz w:val="30"/>
                <w:szCs w:val="30"/>
              </w:rPr>
              <w:t xml:space="preserve">INVESTMENT SUMMARY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pBdr>
                      <w:bottom w:val="single" w:color="E9004B" w:sz="8" w:space="1"/>
                    </w:pBdr>
                    <w:spacing w:after="50" w:before="20"/>
                  </w:pPr>
                  <w:r>
                    <w:rPr>
                      <w:rFonts w:ascii="Arial" w:cs="Arial" w:eastAsia="Arial" w:hAnsi="Arial"/>
                      <w:b/>
                      <w:bCs/>
                      <w:color w:val="14284B"/>
                      <w:sz w:val="16"/>
                      <w:szCs w:val="16"/>
                    </w:rPr>
                    <w:t xml:space="preserve">TO BE WRITTEN</w:t>
                  </w:r>
                </w:p>
                <w:p>
                  <w:pPr>
                    <w:spacing w:after="60"/>
                  </w:pPr>
                  <w:r>
                    <w:rPr>
                      <w:rFonts w:ascii="Arial" w:cs="Arial" w:eastAsia="Arial" w:hAnsi="Arial"/>
                      <w:i/>
                      <w:iCs/>
                      <w:color w:val="5F5F5F"/>
                      <w:sz w:val="16"/>
                      <w:szCs w:val="16"/>
                    </w:rPr>
                    <w:t xml:space="preserve">Recommendation and target price · Investment thesis · Valuation summary · Catalysts · Key risks.</w:t>
                  </w:r>
                </w:p>
                <w:p>
                  <w:pPr>
                    <w:spacing w:after="60"/>
                  </w:pPr>
                  <w:r>
                    <w:rPr>
                      <w:rFonts w:ascii="Arial" w:cs="Arial" w:eastAsia="Arial" w:hAnsi="Arial"/>
                      <w:i/>
                      <w:iCs/>
                      <w:color w:val="5F5F5F"/>
                      <w:sz w:val="16"/>
                      <w:szCs w:val="16"/>
                    </w:rPr>
                    <w:t xml:space="preserve">Section to be written by the team; the key data on the right already come from the models.</w:t>
                  </w:r>
                </w:p>
              </w:tc>
              <w:tc>
                <w:tcPr>
                  <w:tcW w:type="dxa" w:w="216"/>
                  <w:tcBorders>
                    <w:top w:val="none" w:color="FFFFFF" w:sz="0"/>
                    <w:left w:val="none" w:color="FFFFFF" w:sz="0"/>
                    <w:bottom w:val="none" w:color="FFFFFF" w:sz="0"/>
                    <w:right w:val="none" w:color="FFFFFF" w:sz="0"/>
                  </w:tcBorders>
                  <w:vAlign w:val="top"/>
                </w:tcPr>
                <w:p/>
              </w:tc>
              <w:tc>
                <w:tcPr>
                  <w:tcW w:type="dxa" w:w="3550"/>
                  <w:tcBorders>
                    <w:top w:val="none" w:color="FFFFFF" w:sz="0"/>
                    <w:left w:val="none" w:color="FFFFFF" w:sz="0"/>
                    <w:bottom w:val="none" w:color="FFFFFF" w:sz="0"/>
                    <w:right w:val="none" w:color="FFFFFF" w:sz="0"/>
                  </w:tcBorders>
                  <w:vAlign w:val="top"/>
                </w:tcPr>
                <w:p>
                  <w:pPr>
                    <w:pBdr>
                      <w:bottom w:val="single" w:color="E9004B" w:sz="8" w:space="1"/>
                    </w:pBdr>
                    <w:spacing w:after="50" w:before="20"/>
                  </w:pPr>
                  <w:r>
                    <w:rPr>
                      <w:rFonts w:ascii="Arial" w:cs="Arial" w:eastAsia="Arial" w:hAnsi="Arial"/>
                      <w:b/>
                      <w:bCs/>
                      <w:color w:val="14284B"/>
                      <w:sz w:val="16"/>
                      <w:szCs w:val="16"/>
                    </w:rPr>
                    <w:t xml:space="preserve">KEY DATA</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Recommendation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SELL</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Target price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Price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Upside / downside</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DCF / multiples value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DCF / multiples weight</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Market cap (CLP bn)</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52-week range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Expected dividend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Net debt / LTM EBITDA 2Q26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2.36x</w:t>
                        </w:r>
                      </w:p>
                    </w:tc>
                  </w:tr>
                </w:tbl>
                <w:p>
                  <w:pPr>
                    <w:spacing w:before="30"/>
                  </w:pPr>
                  <w:r>
                    <w:rPr>
                      <w:rFonts w:ascii="Arial" w:cs="Arial" w:eastAsia="Arial" w:hAnsi="Arial"/>
                      <w:color w:val="5F5F5F"/>
                      <w:sz w:val="11"/>
                      <w:szCs w:val="11"/>
                    </w:rPr>
                    <w:t xml:space="preserve">Source: valuation model v2; Bloomberg (52-week range); Team analysis.</w:t>
                  </w:r>
                </w:p>
              </w:tc>
            </w:tr>
          </w:tbl>
          <w:p/>
        </w:tc>
      </w:tr>
    </w:tbl>
    <w:p>
      <w:pPr>
        <w:sectPr>
          <w:headerReference w:type="default" r:id="rId19"/>
          <w:footerReference w:type="default" r:id="rId20"/>
          <w:type w:val="continuous"/>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APPENDICES: 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Appendix 1: </w:t>
            </w:r>
            <w:r>
              <w:rPr>
                <w:rFonts w:ascii="Arial" w:cs="Arial" w:eastAsia="Arial" w:hAnsi="Arial"/>
                <w:color w:val="14284B"/>
                <w:sz w:val="14"/>
                <w:szCs w:val="14"/>
              </w:rPr>
              <w:t xml:space="preserve">Tier A assets by GLA, 2Q26 (thousand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(p.12). Tier A = 46.4% of total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Appendix 2: </w:t>
            </w:r>
            <w:r>
              <w:rPr>
                <w:rFonts w:ascii="Arial" w:cs="Arial" w:eastAsia="Arial" w:hAnsi="Arial"/>
                <w:color w:val="14284B"/>
                <w:sz w:val="14"/>
                <w:szCs w:val="14"/>
              </w:rPr>
              <w:t xml:space="preserve">Department stores, % of total GLA</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(p.17).</w:t>
            </w:r>
          </w:p>
        </w:tc>
      </w:tr>
    </w:tbl>
    <w:p>
      <w:pPr>
        <w:sectPr>
          <w:headerReference w:type="default" r:id="rId21"/>
          <w:footerReference w:type="default" r:id="rId22"/>
          <w:type w:val="nextPage"/>
          <w:pgSz w:w="11906" w:h="16838" w:orient="portrait"/>
          <w:pgMar w:top="1000" w:right="620" w:bottom="900" w:left="620" w:header="450" w:footer="400" w:gutter="0"/>
          <w:pgNumType w:start="1"/>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APPENDICES: 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Appendix 3: </w:t>
            </w:r>
            <w:r>
              <w:rPr>
                <w:rFonts w:ascii="Arial" w:cs="Arial" w:eastAsia="Arial" w:hAnsi="Arial"/>
                <w:color w:val="14284B"/>
                <w:sz w:val="14"/>
                <w:szCs w:val="14"/>
              </w:rPr>
              <w:t xml:space="preserve">GLA pipeline 2026-2028: organic vs acquisitions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2Q26 reports and 2025 Annual Report; Parque Arauco Investor Presentation 2Q26; Cenco Malls Corporate Presentation 2Q26. Dated projects only.</w:t>
            </w:r>
          </w:p>
          <w:p>
            <w:pPr>
              <w:keepLines/>
              <w:spacing w:after="20" w:before="90" w:line="240" w:lineRule="auto"/>
            </w:pPr>
            <w:r>
              <w:rPr>
                <w:rFonts w:ascii="Arial" w:cs="Arial" w:eastAsia="Arial" w:hAnsi="Arial"/>
                <w:b/>
                <w:bCs/>
                <w:color w:val="14284B"/>
                <w:sz w:val="14"/>
                <w:szCs w:val="14"/>
              </w:rPr>
              <w:t xml:space="preserve">Appendix 5: </w:t>
            </w:r>
            <w:r>
              <w:rPr>
                <w:rFonts w:ascii="Arial" w:cs="Arial" w:eastAsia="Arial" w:hAnsi="Arial"/>
                <w:color w:val="14284B"/>
                <w:sz w:val="14"/>
                <w:szCs w:val="14"/>
              </w:rPr>
              <w:t xml:space="preserve">Market share within the trio in Chile, 2Q22-2Q26 (% of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Appendix 4: </w:t>
            </w:r>
            <w:r>
              <w:rPr>
                <w:rFonts w:ascii="Arial" w:cs="Arial" w:eastAsia="Arial" w:hAnsi="Arial"/>
                <w:color w:val="14284B"/>
                <w:sz w:val="14"/>
                <w:szCs w:val="14"/>
              </w:rPr>
              <w:t xml:space="preserve">Consolidated occupancy rate, 2Q22-2Q26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Each company defines occupancy differently; Mallplaza includes Open Plaza since 2Q25.</w:t>
            </w:r>
          </w:p>
        </w:tc>
      </w:tr>
    </w:tbl>
    <w:p>
      <w:pPr>
        <w:spacing w:after="30" w:before="140" w:line="228" w:lineRule="auto"/>
      </w:pPr>
      <w:r>
        <w:rPr>
          <w:rFonts w:ascii="Arial" w:cs="Arial" w:eastAsia="Arial" w:hAnsi="Arial"/>
          <w:b/>
          <w:bCs/>
          <w:color w:val="14284B"/>
          <w:sz w:val="14"/>
          <w:szCs w:val="14"/>
        </w:rPr>
        <w:t xml:space="preserve">Appendix 6: </w:t>
      </w:r>
      <w:r>
        <w:rPr>
          <w:rFonts w:ascii="Arial" w:cs="Arial" w:eastAsia="Arial" w:hAnsi="Arial"/>
          <w:color w:val="14284B"/>
          <w:sz w:val="14"/>
          <w:szCs w:val="14"/>
        </w:rPr>
        <w:t xml:space="preserve">Porter's five forces by country and key evidence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Force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Peru</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Key evidence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Rivalry</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CR3 76% / 37% / 13%; race to reinvest in experience; asset acquisitions (Minka, Plaza Central; Quilín and Chicureo announced); supply above consumption in 2027-28. Stable shares and margins of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New entrants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Capital-intensive (USD 613 million for 170,200 m² at Mallplaza); incumbents' land banks; Peru and Colombia less concentrated; most malls in Colombia are strata-titled (multi-owner).</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Bargaining power of tenants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 occupancy 96-99%; average lease terms of 5.0-8.7 years; top 5 = 18% of Mallplaza revenue; Chile SSR above CPI (6.9% vs 4.8%, 1Q23-2Q26); department stores 19.0% of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Bargaining power of suppliers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Common-area expenses passed through to tenants (2025 Annual Report, note 2.20); cost of sales 6.2% of Mallplaza revenue.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Substitutes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93% of Mallplaza rental income is fixed; 2Q26 visits +4.4% Chile, +1.3% Peru, +2.5% Colombia; shift toward experience. No official e-commerce data by country.</w:t>
            </w:r>
          </w:p>
        </w:tc>
      </w:tr>
    </w:tbl>
    <w:p>
      <w:pPr>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1-5 scale in whole numbers; final score = weighted average by Mallplaza GLA as of 2Q26 (Chile 61.9%, Peru 26.2%, Colombia 11.9%), rounded to the nearest integer. For new entrants, the weighted score sits at the threshold (1.5) and the team sets it at 2 given lower barriers to entry in Peru and Colombia. Detail and sources for each data point in Porter_industria_2Q26.xlsx.</w:t>
      </w:r>
    </w:p>
    <w:p>
      <w:pPr>
        <w:spacing w:after="30" w:before="140" w:line="228" w:lineRule="auto"/>
      </w:pPr>
      <w:r>
        <w:rPr>
          <w:rFonts w:ascii="Arial" w:cs="Arial" w:eastAsia="Arial" w:hAnsi="Arial"/>
          <w:b/>
          <w:bCs/>
          <w:color w:val="14284B"/>
          <w:sz w:val="14"/>
          <w:szCs w:val="14"/>
        </w:rPr>
        <w:t xml:space="preserve">Appendix 7: </w:t>
      </w:r>
      <w:r>
        <w:rPr>
          <w:rFonts w:ascii="Arial" w:cs="Arial" w:eastAsia="Arial" w:hAnsi="Arial"/>
          <w:color w:val="14284B"/>
          <w:sz w:val="14"/>
          <w:szCs w:val="14"/>
        </w:rPr>
        <w:t xml:space="preserve">Key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Topic</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Measured by GLA (not by sales) across the main operators in each country (slide 7, Institutional Presentation 2Q26). Partial HHI: it is a floor.</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Only projects with dates in official reports as of 2Q26 and the 2025 Annual Report; for date ranges, the end of the range is used; acquisitions are not new supply for the industry.</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Supply vs demand</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 only and only consumption-dependent m² (excludes offices and multifamily); base GLA excludes Cenco's offices. Private consumption from the Sep-2026 IPoM is used as a demand indicator, not as a sales forecast.</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EBITDA per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as defined by each company (none includes IAS 40 revaluation gains); 2Q26 EBITDA not annualized; consolidated GLA at 100% of controlled assets.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Leases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Profile and term weighted by GLA: explicit for Cenco and in Parque Arauco's profile; assumption for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Real sales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 tenant sales 2Q26 vs 2Q25 deflated by 12-month CPI as of June 2026 (4.3%; INE, release dated July 8, 2026). Cenco 2Q25 calculated from its published change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Dates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Company data as of June 30, 2026; macro projections from the September 2026 IPoM, as the most recent available.</w:t>
            </w:r>
          </w:p>
        </w:tc>
      </w:tr>
    </w:tbl>
    <w:p>
      <w:pPr>
        <w:sectPr>
          <w:headerReference w:type="default" r:id="rId23"/>
          <w:footerReference w:type="default" r:id="rId24"/>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APPENDIX 8: CORPORATE GOVERNANCE AND SUSTAINABILITY</w:t>
      </w:r>
    </w:p>
    <w:p>
      <w:pPr>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pBdr>
          <w:bottom w:val="single" w:color="E9004B" w:sz="8" w:space="1"/>
        </w:pBdr>
        <w:spacing w:after="50" w:before="60"/>
      </w:pPr>
      <w:r>
        <w:rPr>
          <w:rFonts w:ascii="Arial" w:cs="Arial" w:eastAsia="Arial" w:hAnsi="Arial"/>
          <w:b/>
          <w:bCs/>
          <w:color w:val="14284B"/>
          <w:sz w:val="16"/>
          <w:szCs w:val="16"/>
        </w:rPr>
        <w:t xml:space="preserve">1. OWNERSHIP STRUCTURE (31-DEC-2025)</w:t>
      </w:r>
    </w:p>
    <w:p>
      <w:pPr>
        <w:spacing w:after="30" w:before="20" w:line="228" w:lineRule="auto"/>
      </w:pPr>
      <w:r>
        <w:rPr>
          <w:rFonts w:ascii="Arial" w:cs="Arial" w:eastAsia="Arial" w:hAnsi="Arial"/>
          <w:b/>
          <w:bCs/>
          <w:color w:val="14284B"/>
          <w:sz w:val="14"/>
          <w:szCs w:val="14"/>
        </w:rPr>
        <w:t xml:space="preserve">Figure 8.1: </w:t>
      </w:r>
      <w:r>
        <w:rPr>
          <w:rFonts w:ascii="Arial" w:cs="Arial" w:eastAsia="Arial" w:hAnsi="Arial"/>
          <w:color w:val="14284B"/>
          <w:sz w:val="14"/>
          <w:szCs w:val="14"/>
        </w:rPr>
        <w:t xml:space="preserve">Shareholding by type of shareholder</w:t>
      </w:r>
    </w:p>
    <w:p>
      <w:pPr>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772275" cy="914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1.37%</w:t>
            </w:r>
          </w:p>
        </w:tc>
      </w:tr>
    </w:tbl>
    <w:p>
      <w:pPr>
        <w:pBdr>
          <w:bottom w:val="single" w:color="E9004B" w:sz="8" w:space="1"/>
        </w:pBdr>
        <w:spacing w:after="50" w:before="160"/>
      </w:pPr>
      <w:r>
        <w:rPr>
          <w:rFonts w:ascii="Arial" w:cs="Arial" w:eastAsia="Arial" w:hAnsi="Arial"/>
          <w:b/>
          <w:bCs/>
          <w:color w:val="14284B"/>
          <w:sz w:val="16"/>
          <w:szCs w:val="16"/>
        </w:rPr>
        <w:t xml:space="preserve">2. BOARD OF DIRECTORS (ELECTED 22-APR-2025)</w:t>
      </w:r>
    </w:p>
    <w:p>
      <w:pPr>
        <w:spacing w:after="30" w:before="20" w:line="228" w:lineRule="auto"/>
      </w:pPr>
      <w:r>
        <w:rPr>
          <w:rFonts w:ascii="Arial" w:cs="Arial" w:eastAsia="Arial" w:hAnsi="Arial"/>
          <w:b/>
          <w:bCs/>
          <w:color w:val="14284B"/>
          <w:sz w:val="14"/>
          <w:szCs w:val="14"/>
        </w:rPr>
        <w:t xml:space="preserve">Figure 8.2: </w:t>
      </w:r>
      <w:r>
        <w:rPr>
          <w:rFonts w:ascii="Arial" w:cs="Arial" w:eastAsia="Arial" w:hAnsi="Arial"/>
          <w:color w:val="14284B"/>
          <w:sz w:val="14"/>
          <w:szCs w:val="14"/>
        </w:rPr>
        <w:t xml:space="preserve">Board members (red: independent director; blue: chairman)</w:t>
      </w:r>
    </w:p>
    <w:p>
      <w:pPr>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77227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Breaches of laws and regulations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8</w:t>
            </w:r>
          </w:p>
        </w:tc>
      </w:tr>
    </w:tbl>
    <w:p>
      <w:pPr>
        <w:spacing w:after="0" w:before="10" w:line="216" w:lineRule="auto"/>
      </w:pPr>
      <w:r>
        <w:rPr>
          <w:rFonts w:ascii="Arial" w:cs="Arial" w:eastAsia="Arial" w:hAnsi="Arial"/>
          <w:color w:val="5F5F5F"/>
          <w:sz w:val="11"/>
          <w:szCs w:val="11"/>
        </w:rPr>
        <w:t xml:space="preserve">Source: Mallplaza Annual Report 2025.</w:t>
      </w:r>
    </w:p>
    <w:p>
      <w:pPr>
        <w:pBdr>
          <w:bottom w:val="single" w:color="E9004B" w:sz="8" w:space="1"/>
        </w:pBdr>
        <w:spacing w:after="50" w:before="160"/>
      </w:pPr>
      <w:r>
        <w:rPr>
          <w:rFonts w:ascii="Arial" w:cs="Arial" w:eastAsia="Arial" w:hAnsi="Arial"/>
          <w:b/>
          <w:bCs/>
          <w:color w:val="14284B"/>
          <w:sz w:val="16"/>
          <w:szCs w:val="16"/>
        </w:rPr>
        <w:t xml:space="preserve">4. STAKEHOLDER ENGAGEMENT MODEL</w:t>
      </w:r>
    </w:p>
    <w:p>
      <w:pPr>
        <w:spacing w:after="30" w:before="20" w:line="228" w:lineRule="auto"/>
      </w:pPr>
      <w:r>
        <w:rPr>
          <w:rFonts w:ascii="Arial" w:cs="Arial" w:eastAsia="Arial" w:hAnsi="Arial"/>
          <w:b/>
          <w:bCs/>
          <w:color w:val="14284B"/>
          <w:sz w:val="14"/>
          <w:szCs w:val="14"/>
        </w:rPr>
        <w:t xml:space="preserve">Figure 8.3: </w:t>
      </w:r>
      <w:r>
        <w:rPr>
          <w:rFonts w:ascii="Arial" w:cs="Arial" w:eastAsia="Arial" w:hAnsi="Arial"/>
          <w:color w:val="14284B"/>
          <w:sz w:val="14"/>
          <w:szCs w:val="14"/>
        </w:rPr>
        <w:t xml:space="preserve">Implementation process of the engagement model</w:t>
      </w:r>
    </w:p>
    <w:p>
      <w:pPr>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772275" cy="10477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w:t>
      </w:r>
    </w:p>
    <w:p>
      <w:pPr>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E9004B"/>
                <w:sz w:val="30"/>
                <w:szCs w:val="30"/>
              </w:rPr>
              <w:t xml:space="preserve">75%</w:t>
            </w:r>
          </w:p>
          <w:p>
            <w:pPr>
              <w:spacing w:after="10"/>
            </w:pPr>
            <w:r>
              <w:rPr>
                <w:rFonts w:ascii="Arial" w:cs="Arial" w:eastAsia="Arial" w:hAnsi="Arial"/>
                <w:b/>
                <w:bCs/>
                <w:color w:val="14284B"/>
                <w:sz w:val="14"/>
                <w:szCs w:val="14"/>
              </w:rPr>
              <w:t xml:space="preserve">Engagement</w:t>
            </w:r>
          </w:p>
          <w:p>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37</w:t>
            </w:r>
          </w:p>
          <w:p>
            <w:pPr>
              <w:spacing w:after="10"/>
            </w:pPr>
            <w:r>
              <w:rPr>
                <w:rFonts w:ascii="Arial" w:cs="Arial" w:eastAsia="Arial" w:hAnsi="Arial"/>
                <w:b/>
                <w:bCs/>
                <w:color w:val="14284B"/>
                <w:sz w:val="14"/>
                <w:szCs w:val="14"/>
              </w:rPr>
              <w:t xml:space="preserve">eNPS</w:t>
            </w:r>
          </w:p>
          <w:p>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88%</w:t>
            </w:r>
          </w:p>
          <w:p>
            <w:pPr>
              <w:spacing w:after="10"/>
            </w:pPr>
            <w:r>
              <w:rPr>
                <w:rFonts w:ascii="Arial" w:cs="Arial" w:eastAsia="Arial" w:hAnsi="Arial"/>
                <w:b/>
                <w:bCs/>
                <w:color w:val="14284B"/>
                <w:sz w:val="14"/>
                <w:szCs w:val="14"/>
              </w:rPr>
              <w:t xml:space="preserve">Leadership</w:t>
            </w:r>
          </w:p>
          <w:p>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93%</w:t>
            </w:r>
          </w:p>
          <w:p>
            <w:pPr>
              <w:spacing w:after="10"/>
            </w:pPr>
            <w:r>
              <w:rPr>
                <w:rFonts w:ascii="Arial" w:cs="Arial" w:eastAsia="Arial" w:hAnsi="Arial"/>
                <w:b/>
                <w:bCs/>
                <w:color w:val="14284B"/>
                <w:sz w:val="14"/>
                <w:szCs w:val="14"/>
              </w:rPr>
              <w:t xml:space="preserve">Participation</w:t>
            </w:r>
          </w:p>
          <w:p>
            <w:r>
              <w:rPr>
                <w:rFonts w:ascii="Arial" w:cs="Arial" w:eastAsia="Arial" w:hAnsi="Arial"/>
                <w:color w:val="5F5F5F"/>
                <w:sz w:val="12"/>
                <w:szCs w:val="12"/>
              </w:rPr>
              <w:t xml:space="preserve">+3 pp vs 2024</w:t>
            </w:r>
          </w:p>
        </w:tc>
      </w:tr>
    </w:tbl>
    <w:p>
      <w:pPr>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8.4: </w:t>
            </w:r>
            <w:r>
              <w:rPr>
                <w:rFonts w:ascii="Arial" w:cs="Arial" w:eastAsia="Arial" w:hAnsi="Arial"/>
                <w:color w:val="14284B"/>
                <w:sz w:val="14"/>
                <w:szCs w:val="14"/>
              </w:rPr>
              <w:t xml:space="preserve">Waste generation by country</w:t>
            </w:r>
          </w:p>
          <w:p>
            <w:pPr>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314700" cy="13239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200"/>
            </w:pPr>
          </w:p>
          <w:p>
            <w:pPr>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p>
      <w:pPr>
        <w:sectPr>
          <w:headerReference w:type="default" r:id="rId25"/>
          <w:footerReference w:type="default" r:id="rId26"/>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APPENDICES: FINANCIAL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Appendix 9: </w:t>
            </w:r>
            <w:r>
              <w:rPr>
                <w:rFonts w:ascii="Arial" w:cs="Arial" w:eastAsia="Arial" w:hAnsi="Arial"/>
                <w:color w:val="14284B"/>
                <w:sz w:val="14"/>
                <w:szCs w:val="14"/>
              </w:rPr>
              <w:t xml:space="preserve">Forecast assumptions (nominal CLP,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Driver</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Assumption</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Basis</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2026E anchor</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1H26 actual + 2H26E repeating 1H26 local-currency growth (Chile 6.1%, Peru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Interim FS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Inflation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Consensus CPI 2026–28; central-bank targets from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Leases indexed to UF/CPI</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Real same-store growth (ex-parking)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1.5% → 0.6%; Peru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Midpoints of company appraisal ranges (Note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Occupancy</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96.1%, Colombia 97.5% flat; Peru 93.8% → 94.6% by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2Q26 actual; Peru back to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12.1% / 6.4% / 9.0% of 2026 revenue; real growth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2Q26 release (LTM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Pipeline GLA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8,900 m² (2026), 72,950 m² (2027), 41,850 m² (2028); ramp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2Q26 release, projects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Post-2028 expansion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27,075 m² a year opening from 2029E (55% Chile / 45% Peru); USD 3,603/m² indexed to CPI, spent 50% in t−2 and 50% in t−1; 80.9% EBITDA margin; 6.9% yield on cost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Average organic GLA 2022, 2023, 2025; pipeline cost per m²</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FX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Consensus year-end 2026–28; purchasing-power parity thereafter</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Bloomberg ECFC, 5 Oct 2026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EBITDA margin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80%, Peru 82%, Colombia 74% (≈ 79.7% consolidated)</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2024–LTM 2Q26; 2025 peak not extrapolated</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0.70% of revenue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LTM 2Q26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Cash tax rate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1H26 current tax; shields run off</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Project capex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USD 445m remaining at Jun-26, spread to final opening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2Q26 release,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Maintenance + IT capex</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5.5% of revenue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2024 (4.8%) – LTM 2Q26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Working capital</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Net operating working capital at 15.6% of revenue (Dec-25); 2026E covers 2H26E only</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FS Dec-25, first year-end with full Peru</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Leverage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Net debt / EBITDA 2.36x (Jun-26) → 3.5x by Dec-31E, linear; cash above the plan returned via buybacks or special dividends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Team assumption; peers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Cost of debt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Net financial cost 3.08% of opening net debt + 25bp real per turn of leverage above 2.36x; UF indexation on 79% of debt</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1H26 annualized; team assumption</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Excluded</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Greenfield (USD 0.7m LTM vs 55.2m in 2023), Gran Plaza; undated Chile projects replaced by the post-2028 expansion</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No date or immaterial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40% of distributable profit, one-year lag, plus the additional distributions above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Board policy (Note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bl>
          <w:p>
            <w:pPr>
              <w:spacing w:after="0" w:before="10" w:line="216" w:lineRule="auto"/>
              <w:jc w:val="both"/>
            </w:pPr>
            <w:r>
              <w:rPr>
                <w:rFonts w:ascii="Arial" w:cs="Arial" w:eastAsia="Arial" w:hAnsi="Arial"/>
                <w:color w:val="5F5F5F"/>
                <w:sz w:val="11"/>
                <w:szCs w:val="11"/>
              </w:rPr>
              <w:t xml:space="preserve">Tags: R reported · C team calculation · S team assumption · P market consensus. Source: Plaza S.A. financial statements (CMF); 2Q26 results release; Bloomberg ECFC;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Appendix 10: </w:t>
            </w:r>
            <w:r>
              <w:rPr>
                <w:rFonts w:ascii="Arial" w:cs="Arial" w:eastAsia="Arial" w:hAnsi="Arial"/>
                <w:color w:val="14284B"/>
                <w:sz w:val="14"/>
                <w:szCs w:val="14"/>
              </w:rPr>
              <w:t xml:space="preserve">Summary financial statements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Income statement</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 (company definition)</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Fair-value gains &amp; other op. items, net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Operating income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financial cost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UF indexation of debt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Net income attributable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FFO attributable (company)</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Balance sheet</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Dec-23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Dec-24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Dec-25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Cash and equivalents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Investment property</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Total assets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Gross financial debt</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Deferred tax liabilities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Equity attributable to owners</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Cash flow</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Operating cash flow</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Acquisitions incl. minorities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Equity issued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borrowing / (repayment)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Interest paid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Dividends paid</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(87.6)</w:t>
                  </w:r>
                </w:p>
              </w:tc>
            </w:tr>
          </w:tbl>
          <w:p>
            <w:pPr>
              <w:spacing w:after="0" w:before="10" w:line="216" w:lineRule="auto"/>
              <w:jc w:val="both"/>
            </w:pPr>
            <w:r>
              <w:rPr>
                <w:rFonts w:ascii="Arial" w:cs="Arial" w:eastAsia="Arial" w:hAnsi="Arial"/>
                <w:color w:val="5F5F5F"/>
                <w:sz w:val="11"/>
                <w:szCs w:val="11"/>
              </w:rPr>
              <w:t xml:space="preserve">LTM = FY2025 − 1H25 + 1H26. 2024 as restated in Dec-25; 2022A from restated Dec-23 statements; 2022 financing lines not in the files used. Source: Plaza S.A. financial statements (CMF) Dec-24, Dec-25, Jun-26.</w:t>
            </w:r>
          </w:p>
        </w:tc>
      </w:tr>
    </w:tbl>
    <w:p>
      <w:pPr>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Appendix 11: </w:t>
            </w:r>
            <w:r>
              <w:rPr>
                <w:rFonts w:ascii="Arial" w:cs="Arial" w:eastAsia="Arial" w:hAnsi="Arial"/>
                <w:color w:val="14284B"/>
                <w:sz w:val="14"/>
                <w:szCs w:val="14"/>
              </w:rPr>
              <w:t xml:space="preserve">Ratio dashboard</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normalized</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ROIC (NOPAT at 27%, IC at fair value)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Current ratio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Cash / current liabilities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Total liabilities / equity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LTV (net debt / inv. property)</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debt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 financial costs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 turnover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Operating costs / revenue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Receivable days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r>
          </w:tbl>
          <w:p>
            <w:pPr>
              <w:spacing w:after="0" w:before="10" w:line="216" w:lineRule="auto"/>
              <w:jc w:val="both"/>
            </w:pPr>
            <w:r>
              <w:rPr>
                <w:rFonts w:ascii="Arial" w:cs="Arial" w:eastAsia="Arial" w:hAnsi="Arial"/>
                <w:color w:val="5F5F5F"/>
                <w:sz w:val="11"/>
                <w:szCs w:val="11"/>
              </w:rPr>
              <w:t xml:space="preserve">Jun-26 leverage on LTM EBITDA; operating costs = cost of sales + admin (1H26). Dec-24 receivable days n.m. (Peru consolidated one month). Jun-26 returns need the Jun-25 balance sheet. Source: Plaza S.A. financial statements (CMF); MD&amp;A 1H26; Team analysis.</w:t>
            </w:r>
          </w:p>
          <w:p>
            <w:pPr>
              <w:spacing w:after="30" w:before="100" w:line="228" w:lineRule="auto"/>
            </w:pPr>
            <w:r>
              <w:rPr>
                <w:rFonts w:ascii="Arial" w:cs="Arial" w:eastAsia="Arial" w:hAnsi="Arial"/>
                <w:b/>
                <w:bCs/>
                <w:color w:val="14284B"/>
                <w:sz w:val="14"/>
                <w:szCs w:val="14"/>
              </w:rPr>
              <w:t xml:space="preserve">Appendix 12: </w:t>
            </w:r>
            <w:r>
              <w:rPr>
                <w:rFonts w:ascii="Arial" w:cs="Arial" w:eastAsia="Arial" w:hAnsi="Arial"/>
                <w:color w:val="14284B"/>
                <w:sz w:val="14"/>
                <w:szCs w:val="14"/>
              </w:rPr>
              <w:t xml:space="preserve">The EBITDA we use is the company's: fair-value gains are removed once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Operating income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 Other op. income (mostly fair value)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 Other op. expenses (non-recurring)</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 adjusted</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Check vs company EBITDA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r>
          </w:tbl>
          <w:p>
            <w:pPr>
              <w:spacing w:after="0" w:before="10" w:line="216" w:lineRule="auto"/>
              <w:jc w:val="both"/>
            </w:pPr>
            <w:r>
              <w:rPr>
                <w:rFonts w:ascii="Arial" w:cs="Arial" w:eastAsia="Arial" w:hAnsi="Arial"/>
                <w:color w:val="5F5F5F"/>
                <w:sz w:val="11"/>
                <w:szCs w:val="11"/>
              </w:rPr>
              <w:t xml:space="preserve">Bloomberg's EBITDA field includes fair-value gains and is not used. Source: Plaza S.A. financial statements (CMF), Notes 23.1–23.3; 2Q26 release;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Appendix 13: </w:t>
            </w:r>
            <w:r>
              <w:rPr>
                <w:rFonts w:ascii="Arial" w:cs="Arial" w:eastAsia="Arial" w:hAnsi="Arial"/>
                <w:color w:val="14284B"/>
                <w:sz w:val="14"/>
                <w:szCs w:val="14"/>
              </w:rPr>
              <w:t xml:space="preserve">Base-case projection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bn</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 — Peru</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Eliminations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 — post-2028 expansion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Revenue</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Growth</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margin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Cash tax rate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 — pipeline + maintenance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 — post-2028 expansion</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Δ working capital</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Distributable profit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Ordinary dividends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Additional distributions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debt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r>
          </w:tbl>
          <w:p>
            <w:pPr>
              <w:spacing w:after="0" w:before="10" w:line="216" w:lineRule="auto"/>
              <w:jc w:val="both"/>
            </w:pPr>
            <w:r>
              <w:rPr>
                <w:rFonts w:ascii="Arial" w:cs="Arial" w:eastAsia="Arial" w:hAnsi="Arial"/>
                <w:color w:val="5F5F5F"/>
                <w:sz w:val="11"/>
                <w:szCs w:val="11"/>
              </w:rPr>
              <w:t xml:space="preserve">2026E = 1H26 actual + 2H26E; capex includes CLP 84.2bn spent in 1H26; Δ working capital and additional distributions cover 2H26E only. FFO = (EBITDA − net financial cost) × (1 − cash tax), before minorities (~1%); distributable profit = FFO − UF indexation. Source: valuation workbook v2 (DCF, Deuda and Expansion sheets); Team analysis.</w:t>
            </w:r>
          </w:p>
          <w:p>
            <w:pPr>
              <w:spacing w:after="30" w:before="100" w:line="228" w:lineRule="auto"/>
            </w:pPr>
            <w:r>
              <w:rPr>
                <w:rFonts w:ascii="Arial" w:cs="Arial" w:eastAsia="Arial" w:hAnsi="Arial"/>
                <w:b/>
                <w:bCs/>
                <w:color w:val="14284B"/>
                <w:sz w:val="14"/>
                <w:szCs w:val="14"/>
              </w:rPr>
              <w:t xml:space="preserve">Appendix 14: </w:t>
            </w:r>
            <w:r>
              <w:rPr>
                <w:rFonts w:ascii="Arial" w:cs="Arial" w:eastAsia="Arial" w:hAnsi="Arial"/>
                <w:color w:val="14284B"/>
                <w:sz w:val="14"/>
                <w:szCs w:val="14"/>
              </w:rPr>
              <w:t xml:space="preserve">Like-for-like, Mallplaza earns the highest normalized ROE of its local peers (FY2025)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Fair-value gain / opening property</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 investment property</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reported</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normalized</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debt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Assets / equity attributable, YE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1.51</w:t>
                  </w:r>
                </w:p>
              </w:tc>
            </w:tr>
          </w:tbl>
          <w:p>
            <w:pPr>
              <w:spacing w:after="0" w:before="10" w:line="216" w:lineRule="auto"/>
              <w:jc w:val="both"/>
            </w:pPr>
            <w:r>
              <w:rPr>
                <w:rFonts w:ascii="Arial" w:cs="Arial" w:eastAsia="Arial" w:hAnsi="Arial"/>
                <w:color w:val="5F5F5F"/>
                <w:sz w:val="11"/>
                <w:szCs w:val="11"/>
              </w:rPr>
              <w:t xml:space="preserve">Mallplaza normalized on audited distributable profit; peers on net income − fair-value gains × (1 − 27%). Parque Arauco property excludes JVs, overstating its LTV. Source: Plaza S.A. financial statements (CMF); Bloomberg FA as-reported (PARAUCO CI, CENCOMAL CI; export 28 Sep 2026); Team analysis.</w:t>
            </w:r>
          </w:p>
        </w:tc>
      </w:tr>
    </w:tbl>
    <w:p>
      <w:pPr>
        <w:sectPr>
          <w:headerReference w:type="default" r:id="rId27"/>
          <w:footerReference w:type="default" r:id="rId28"/>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before="0"/>
      </w:pPr>
      <w:r>
        <w:rPr>
          <w:rFonts w:ascii="Arial" w:cs="Arial" w:eastAsia="Arial" w:hAnsi="Arial"/>
          <w:b/>
          <w:bCs/>
          <w:color w:val="14284B"/>
          <w:sz w:val="30"/>
          <w:szCs w:val="30"/>
        </w:rPr>
        <w:t xml:space="preserve">APPENDIX 15: DISCOUNTED CASH FLOW</w:t>
      </w:r>
    </w:p>
    <w:p>
      <w:pPr>
        <w:shd w:fill="EEF1F6" w:color="auto" w:val="clear"/>
        <w:spacing w:after="40" w:line="216" w:lineRule="auto"/>
        <w:jc w:val="both"/>
      </w:pPr>
      <w:r>
        <w:rPr>
          <w:rFonts w:ascii="Arial" w:cs="Arial" w:eastAsia="Arial" w:hAnsi="Arial"/>
          <w:color w:val="1A1A1A"/>
          <w:sz w:val="15"/>
          <w:szCs w:val="15"/>
        </w:rPr>
        <w:t xml:space="preserve">FCFF in nominal CLP from 30-Jun-26, with the mid-period convention and each period's WACC (Appendix 19). Terminal value uses 2032E FCFF with 3.0% nominal g (0% real, no reinvestment because RONIC is below the real WACC) and the 10.41% terminal WACC, and includes 108,301 m² of GLA maturing after 2031. It accounts for 76% of EV.</w:t>
      </w:r>
    </w:p>
    <w:p>
      <w:pPr>
        <w:pBdr>
          <w:bottom w:val="single" w:color="E9004B" w:sz="8" w:space="1"/>
        </w:pBdr>
        <w:spacing w:after="50" w:before="80"/>
      </w:pPr>
      <w:r>
        <w:rPr>
          <w:rFonts w:ascii="Arial" w:cs="Arial" w:eastAsia="Arial" w:hAnsi="Arial"/>
          <w:b/>
          <w:bCs/>
          <w:color w:val="14284B"/>
          <w:sz w:val="16"/>
          <w:szCs w:val="16"/>
        </w:rPr>
        <w:t xml:space="preserve">A. FREE CASH FLOW TO THE FIRM BY PERIOD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Total revenue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margin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Cash tax rate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capex (pipeline + maintenance)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Expansion capex / terminal reinvestment</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Investment in working capital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WACC of the period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Discount factor (mid-period)</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PV of FCFF / of terminal value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FROM ENTERPRISE VALUE TO VALUE PER 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Item</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 million</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CLP/share</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PV of explicit FCFF (2H26E–2031E)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PV of terminal value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Enterprise value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Net financial debt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Minorities (book)</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Equity value / per share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DCF VALUE SENSITIVITY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0 bp</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1,379</w:t>
                  </w:r>
                </w:p>
              </w:tc>
            </w:tr>
          </w:tbl>
          <w:p/>
        </w:tc>
      </w:tr>
    </w:tbl>
    <w:p>
      <w:pPr>
        <w:spacing w:after="0" w:before="10" w:line="216" w:lineRule="auto"/>
      </w:pPr>
      <w:r>
        <w:rPr>
          <w:rFonts w:ascii="Arial" w:cs="Arial" w:eastAsia="Arial" w:hAnsi="Arial"/>
          <w:color w:val="5F5F5F"/>
          <w:sz w:val="11"/>
          <w:szCs w:val="11"/>
        </w:rPr>
        <w:t xml:space="preserve">Terminal value at 31-Dec-31: CLP 7,133,037 million (implied cap rate 10.1%; implied LTM EV/EBITDA 9.9x). 2H26E: half year. Source: model v2, DCF and Sensibilidad sheets; 2,190 million shares.</w:t>
      </w:r>
    </w:p>
    <w:p>
      <w:pPr>
        <w:pBdr>
          <w:bottom w:val="single" w:color="14284B" w:sz="18" w:space="2"/>
        </w:pBdr>
        <w:spacing w:after="80" w:before="260"/>
      </w:pPr>
      <w:r>
        <w:rPr>
          <w:rFonts w:ascii="Arial" w:cs="Arial" w:eastAsia="Arial" w:hAnsi="Arial"/>
          <w:b/>
          <w:bCs/>
          <w:color w:val="14284B"/>
          <w:sz w:val="30"/>
          <w:szCs w:val="30"/>
        </w:rPr>
        <w:t xml:space="preserve">APPENDIX 16: FORECAST ASSUMPTIONS</w:t>
      </w:r>
    </w:p>
    <w:p>
      <w:pPr>
        <w:shd w:fill="EEF1F6" w:color="auto" w:val="clear"/>
        <w:spacing w:after="40" w:line="216" w:lineRule="auto"/>
        <w:jc w:val="both"/>
      </w:pPr>
      <w:r>
        <w:rPr>
          <w:rFonts w:ascii="Arial" w:cs="Arial" w:eastAsia="Arial" w:hAnsi="Arial"/>
          <w:color w:val="1A1A1A"/>
          <w:sz w:val="15"/>
          <w:szCs w:val="15"/>
        </w:rPr>
        <w:t xml:space="preserve">The base forecast follows the team's operating engine (announced pipeline to 2028); from 2029 a continuous expansion is added at the historical opening pace. 2026E revenue is calendar-year; the 2H26E period deducts actual 1H26 (CLP 339,530 million of revenue).</w:t>
      </w:r>
    </w:p>
    <w:p>
      <w:pPr>
        <w:pBdr>
          <w:bottom w:val="single" w:color="E9004B" w:sz="8" w:space="1"/>
        </w:pBdr>
        <w:spacing w:after="50" w:before="80"/>
      </w:pPr>
      <w:r>
        <w:rPr>
          <w:rFonts w:ascii="Arial" w:cs="Arial" w:eastAsia="Arial" w:hAnsi="Arial"/>
          <w:b/>
          <w:bCs/>
          <w:color w:val="14284B"/>
          <w:sz w:val="16"/>
          <w:szCs w:val="16"/>
        </w:rPr>
        <w:t xml:space="preserve">A. REVENUE, CAPEX AND WORKING CAPITAL FORECAST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revenue (calendar year)</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Total revenue growth</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Continuous-expansion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EBITDA margin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Cash tax rate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on projects under way (USD million)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Average USDCLP</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on projects under way</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Maintenance + IT capex (5.5% of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Total base capex</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Continuous-expansion capex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Expansion cost per m² (CLP million, CPI)</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Investment in working capital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CONTINUOUS EXPANSION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New GLA per year from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Basis: organic average 2022, 2023 and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Pipeline under way (2Q26 release)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613.2 million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 per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disbursement</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 in t−2 / 50% in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Revenue ramp (year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 / Peru mix;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Yield on cost / real after-tax RONIC</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OPERATIONS, CAPITAL AND TERMINAL VALUE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LTM 2Q26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Maintenance + IT capex</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 of revenue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 revenue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Cash tax rate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working capital / revenue (Dec-25)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Receivables / advance rents (Dec-25, CLP million)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(real) terminal g</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Target net debt/EBITDA; real Kd per turn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3.5x in 2031; +25 bp</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Payout on distributable income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w:t>
                  </w:r>
                </w:p>
              </w:tc>
            </w:tr>
          </w:tbl>
          <w:p/>
        </w:tc>
      </w:tr>
    </w:tbl>
    <w:p>
      <w:pPr>
        <w:spacing w:after="0" w:before="10" w:line="216" w:lineRule="auto"/>
      </w:pPr>
      <w:r>
        <w:rPr>
          <w:rFonts w:ascii="Arial" w:cs="Arial" w:eastAsia="Arial" w:hAnsi="Arial"/>
          <w:color w:val="5F5F5F"/>
          <w:sz w:val="11"/>
          <w:szCs w:val="11"/>
        </w:rPr>
        <w:t xml:space="preserve">Source: model v2, Forecast_Base, Expansion, Capital_Trabajo and Supuestos sheets (2Q26 release; Dec-25 financial statements; Exhibits v6).</w:t>
      </w:r>
    </w:p>
    <w:p>
      <w:pPr>
        <w:pBdr>
          <w:bottom w:val="single" w:color="14284B" w:sz="18" w:space="2"/>
        </w:pBdr>
        <w:spacing w:after="80" w:before="0"/>
      </w:pPr>
      <w:r>
        <w:rPr>
          <w:rFonts w:ascii="Arial" w:cs="Arial" w:eastAsia="Arial" w:hAnsi="Arial"/>
          <w:b/>
          <w:bCs/>
          <w:color w:val="14284B"/>
          <w:sz w:val="30"/>
          <w:szCs w:val="30"/>
        </w:rPr>
        <w:t xml:space="preserve">APPENDIX 17: COMPARABLE MULTIPLES</w:t>
      </w:r>
    </w:p>
    <w:p>
      <w:pPr>
        <w:shd w:fill="EEF1F6" w:color="auto" w:val="clear"/>
        <w:spacing w:after="40" w:line="216" w:lineRule="auto"/>
        <w:jc w:val="both"/>
      </w:pPr>
      <w:r>
        <w:rPr>
          <w:rFonts w:ascii="Arial" w:cs="Arial" w:eastAsia="Arial" w:hAnsi="Arial"/>
          <w:color w:val="1A1A1A"/>
          <w:sz w:val="15"/>
          <w:szCs w:val="15"/>
        </w:rPr>
        <w:t xml:space="preserve">We use the same peer set as the WACC beta. LTM EV/EBITDA is the main method (neutral to leverage and to IAS 40 revaluation); the multiple weights the Chilean median at 70% and the common-set median at 30%. P/E and P/BV mix fair-value and cost-basis peers: reference only. Price at 30-Sep-26; Bloomberg net debt and FX at 30-Jun-26.</w:t>
      </w:r>
    </w:p>
    <w:p>
      <w:pPr>
        <w:pBdr>
          <w:bottom w:val="single" w:color="E9004B" w:sz="8" w:space="1"/>
        </w:pBdr>
        <w:spacing w:after="50" w:before="80"/>
      </w:pPr>
      <w:r>
        <w:rPr>
          <w:rFonts w:ascii="Arial" w:cs="Arial" w:eastAsia="Arial" w:hAnsi="Arial"/>
          <w:b/>
          <w:bCs/>
          <w:color w:val="14284B"/>
          <w:sz w:val="16"/>
          <w:szCs w:val="16"/>
        </w:rPr>
        <w:t xml:space="preserve">A. PEERS (CLP MILLION; MULTIPLES IN TIMES)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LTM 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LTM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 LTM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 LTM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Fibra Danhos (excluded)</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Common-set median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 median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VALUE BY MULTIPLE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Multiple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Weighted</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Metric (CLP mn)</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CLP/share</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EV/EBITDA LTM (main)</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 LTM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 LTM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SENSITIVITY TO THE WEIGHTING</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Chile weight</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Multiple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Mult. value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Target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r>
          </w:tbl>
          <w:p/>
        </w:tc>
      </w:tr>
    </w:tbl>
    <w:p>
      <w:pPr>
        <w:spacing w:after="0" w:before="10" w:line="216" w:lineRule="auto"/>
      </w:pPr>
      <w:r>
        <w:rPr>
          <w:rFonts w:ascii="Arial" w:cs="Arial" w:eastAsia="Arial" w:hAnsi="Arial"/>
          <w:color w:val="5F5F5F"/>
          <w:sz w:val="11"/>
          <w:szCs w:val="11"/>
        </w:rPr>
        <w:t xml:space="preserve">Bridge: 14.36x × LTM EBITDA of CLP 544,935 million = EV 7,825,944 − Bloomberg net debt 1,311,569 − minorities 50,841 = CLP 2,951 per share (2,190 million shares). Fibra Danhos is excluded for its FIBRA regime and because it has no beta in the WACC; IRSA reports under IAS 29. Source: Bloomberg; model v2, Comparables and Precio_Objetivo sheets; Figuras_Valuacion, V7.</w:t>
      </w:r>
    </w:p>
    <w:p>
      <w:pPr>
        <w:pBdr>
          <w:bottom w:val="single" w:color="14284B" w:sz="18" w:space="2"/>
        </w:pBdr>
        <w:spacing w:after="80" w:before="260"/>
      </w:pPr>
      <w:r>
        <w:rPr>
          <w:rFonts w:ascii="Arial" w:cs="Arial" w:eastAsia="Arial" w:hAnsi="Arial"/>
          <w:b/>
          <w:bCs/>
          <w:color w:val="14284B"/>
          <w:sz w:val="30"/>
          <w:szCs w:val="30"/>
        </w:rPr>
        <w:t xml:space="preserve">APPENDIX 18: SCENARIOS AND ROBUSTNESS</w:t>
      </w:r>
    </w:p>
    <w:p>
      <w:pPr>
        <w:shd w:fill="EEF1F6" w:color="auto" w:val="clear"/>
        <w:spacing w:after="40" w:line="216" w:lineRule="auto"/>
        <w:jc w:val="both"/>
      </w:pPr>
      <w:r>
        <w:rPr>
          <w:rFonts w:ascii="Arial" w:cs="Arial" w:eastAsia="Arial" w:hAnsi="Arial"/>
          <w:color w:val="1A1A1A"/>
          <w:sz w:val="15"/>
          <w:szCs w:val="15"/>
        </w:rPr>
        <w:t xml:space="preserve">No scenario or alternative method reaches the CLP 3,555 price. Scenarios are computed with the DCF v2 replica (which reproduces the base value exactly), and the target keeps the 80% DCF weight and the CLP 2,951 multiples value.</w:t>
      </w:r>
    </w:p>
    <w:p>
      <w:pPr>
        <w:pBdr>
          <w:bottom w:val="single" w:color="E9004B" w:sz="8" w:space="1"/>
        </w:pBdr>
        <w:spacing w:after="50" w:before="80"/>
      </w:pPr>
      <w:r>
        <w:rPr>
          <w:rFonts w:ascii="Arial" w:cs="Arial" w:eastAsia="Arial" w:hAnsi="Arial"/>
          <w:b/>
          <w:bCs/>
          <w:color w:val="14284B"/>
          <w:sz w:val="16"/>
          <w:szCs w:val="16"/>
        </w:rPr>
        <w:t xml:space="preserve">A. 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Target price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price</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bp in every period; EBITDA margin 75.8% (historical low) instead of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Model v2: WACC 10.54% → 10.41%; g 3.0%; margin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bp; g 2.5%; margin 81.3% (historical high); cash tax capped at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Appraisers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WACC 8.72% (5.55% real, Note 11) in every period</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ALTERNATIVE METHODS AND INPUTS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Test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Target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price</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APV (Ku 11.11%): unlevered value</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tax shields of debt</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APV per share</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peso bond 5.43% (WACC −107 bp)</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VF: constant WACC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implied by the price: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DEBT TARGET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ND/EBITDA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0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25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50 bp</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2.36x (current)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1,847</w:t>
                  </w:r>
                </w:p>
              </w:tc>
            </w:tr>
          </w:tbl>
          <w:p/>
        </w:tc>
      </w:tr>
    </w:tbl>
    <w:p>
      <w:pPr>
        <w:spacing w:after="0" w:before="10" w:line="216" w:lineRule="auto"/>
      </w:pPr>
      <w:r>
        <w:rPr>
          <w:rFonts w:ascii="Arial" w:cs="Arial" w:eastAsia="Arial" w:hAnsi="Arial"/>
          <w:color w:val="5F5F5F"/>
          <w:sz w:val="11"/>
          <w:szCs w:val="11"/>
        </w:rPr>
        <w:t xml:space="preserve">Bear and bull: EBITDA margin at the historical low/high (4Q23 and 3Q25 earnings releases) in every year; the bull case does not recompute the WACC tax shield. Source: DCF v2 replica (riesgos/graficos/tornado_operacional.py); model v2, APV, Sensibilidad (table 2, static) and DCF sheets; Figuras_Valuacion, WACC_Construccion and V6.</w:t>
      </w:r>
    </w:p>
    <w:p>
      <w:pPr>
        <w:pBdr>
          <w:bottom w:val="single" w:color="14284B" w:sz="18" w:space="2"/>
        </w:pBdr>
        <w:spacing w:after="80" w:before="0"/>
      </w:pPr>
      <w:r>
        <w:rPr>
          <w:rFonts w:ascii="Arial" w:cs="Arial" w:eastAsia="Arial" w:hAnsi="Arial"/>
          <w:b/>
          <w:bCs/>
          <w:color w:val="14284B"/>
          <w:sz w:val="30"/>
          <w:szCs w:val="30"/>
        </w:rPr>
        <w:t xml:space="preserve">APPENDIX 19: WACC CONSTRUCTION</w:t>
      </w:r>
    </w:p>
    <w:p>
      <w:pPr>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weighted CRP</w:t>
      </w:r>
    </w:p>
    <w:p>
      <w:pPr>
        <w:spacing w:after="10"/>
        <w:ind w:left="240"/>
      </w:pPr>
      <w:r>
        <w:rPr>
          <w:rFonts w:ascii="Arial" w:cs="Arial" w:eastAsia="Arial" w:hAnsi="Arial"/>
          <w:b/>
          <w:bCs/>
          <w:color w:val="14284B"/>
          <w:sz w:val="14"/>
          <w:szCs w:val="14"/>
        </w:rPr>
        <w:t xml:space="preserve">Ke CLP = (1 + Ke USD) × (1 + π Chile) / (1 + π US) − 1</w:t>
      </w:r>
    </w:p>
    <w:p>
      <w:pPr>
        <w:spacing w:after="10"/>
        <w:ind w:left="240"/>
      </w:pPr>
      <w:r>
        <w:rPr>
          <w:rFonts w:ascii="Arial" w:cs="Arial" w:eastAsia="Arial" w:hAnsi="Arial"/>
          <w:b/>
          <w:bCs/>
          <w:color w:val="14284B"/>
          <w:sz w:val="14"/>
          <w:szCs w:val="14"/>
        </w:rPr>
        <w:t xml:space="preserve">Kd CLP = (1 + real Kd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Figure 19.1: </w:t>
            </w:r>
            <w:r>
              <w:rPr>
                <w:rFonts w:ascii="Arial" w:cs="Arial" w:eastAsia="Arial" w:hAnsi="Arial"/>
                <w:color w:val="14284B"/>
                <w:sz w:val="14"/>
                <w:szCs w:val="14"/>
              </w:rPr>
              <w:t xml:space="preserve">Nominal WACC and D/E by period</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p>
      <w:pPr>
        <w:sectPr>
          <w:headerReference w:type="default" r:id="rId29"/>
          <w:footerReference w:type="default" r:id="rId30"/>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28"/>
          <w:szCs w:val="28"/>
        </w:rPr>
        <w:t xml:space="preserve">APPENDIX 20: MACROECONOMIC AND GEOPOLITICAL BACKDROP</w:t>
      </w:r>
    </w:p>
    <w:p>
      <w:pPr>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Sep-26 average</w:t>
            </w:r>
          </w:p>
          <w:p>
            <w:pPr>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10Y UST, 8-Oct-26</w:t>
            </w:r>
          </w:p>
          <w:p>
            <w:pPr>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bp</w:t>
            </w:r>
          </w:p>
          <w:p>
            <w:pPr>
              <w:spacing w:after="10" w:line="216" w:lineRule="auto"/>
            </w:pPr>
            <w:r>
              <w:rPr>
                <w:rFonts w:ascii="Arial" w:cs="Arial" w:eastAsia="Arial" w:hAnsi="Arial"/>
                <w:b/>
                <w:bCs/>
                <w:color w:val="14284B"/>
                <w:sz w:val="13"/>
                <w:szCs w:val="13"/>
              </w:rPr>
              <w:t xml:space="preserve">France–Germany spread</w:t>
            </w:r>
          </w:p>
          <w:p>
            <w:pPr>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IMF 2026: GDP | inflation</w:t>
            </w:r>
          </w:p>
          <w:p>
            <w:pPr>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Chile 2026 GDP (BCCh)</w:t>
            </w:r>
          </w:p>
          <w:p>
            <w:pPr>
              <w:spacing w:after="0" w:line="216" w:lineRule="auto"/>
            </w:pPr>
            <w:r>
              <w:rPr>
                <w:rFonts w:ascii="Arial" w:cs="Arial" w:eastAsia="Arial" w:hAnsi="Arial"/>
                <w:color w:val="5F5F5F"/>
                <w:sz w:val="12"/>
                <w:szCs w:val="12"/>
              </w:rPr>
              <w:t xml:space="preserve">down from 2–3% expected in Dec-25</w:t>
            </w:r>
          </w:p>
        </w:tc>
      </w:tr>
    </w:tbl>
    <w:p>
      <w:pPr>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spacing w:after="30" w:before="40" w:line="228" w:lineRule="auto"/>
      </w:pPr>
      <w:r>
        <w:rPr>
          <w:rFonts w:ascii="Arial" w:cs="Arial" w:eastAsia="Arial" w:hAnsi="Arial"/>
          <w:b/>
          <w:bCs/>
          <w:color w:val="14284B"/>
          <w:sz w:val="14"/>
          <w:szCs w:val="14"/>
        </w:rPr>
        <w:t xml:space="preserve">Figure 20.1: </w:t>
      </w:r>
      <w:r>
        <w:rPr>
          <w:rFonts w:ascii="Arial" w:cs="Arial" w:eastAsia="Arial" w:hAnsi="Arial"/>
          <w:color w:val="14284B"/>
          <w:sz w:val="14"/>
          <w:szCs w:val="14"/>
        </w:rPr>
        <w:t xml:space="preserve">Transmission map: from global shocks to Mallplaza's risks</w:t>
      </w:r>
    </w:p>
    <w:p>
      <w:pPr>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 figures from Figures 28–30 of the report (Investment Risks).</w:t>
      </w:r>
    </w:p>
    <w:p>
      <w:pPr>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20.2: </w:t>
            </w:r>
            <w:r>
              <w:rPr>
                <w:rFonts w:ascii="Arial" w:cs="Arial" w:eastAsia="Arial" w:hAnsi="Arial"/>
                <w:color w:val="14284B"/>
                <w:sz w:val="14"/>
                <w:szCs w:val="14"/>
              </w:rPr>
              <w:t xml:space="preserve">Brent crude oil price, 2022–2026 (USD/barrel)</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20.3: </w:t>
            </w:r>
            <w:r>
              <w:rPr>
                <w:rFonts w:ascii="Arial" w:cs="Arial" w:eastAsia="Arial" w:hAnsi="Arial"/>
                <w:color w:val="14284B"/>
                <w:sz w:val="14"/>
                <w:szCs w:val="14"/>
              </w:rPr>
              <w:t xml:space="preserve">10-year sovereign yields, 2022–2026 (%)</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r>
        <w:t xml:space="preserve"/>
      </w:r>
    </w:p>
    <w:p>
      <w:pPr>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20.4: </w:t>
            </w:r>
            <w:r>
              <w:rPr>
                <w:rFonts w:ascii="Arial" w:cs="Arial" w:eastAsia="Arial" w:hAnsi="Arial"/>
                <w:color w:val="14284B"/>
                <w:sz w:val="14"/>
                <w:szCs w:val="14"/>
              </w:rPr>
              <w:t xml:space="preserve">10-year spreads: France–Germany and Chile–US (bp)</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spacing w:after="0" w:before="10" w:line="216" w:lineRule="auto"/>
            </w:pPr>
            <w:r>
              <w:rPr>
                <w:rFonts w:ascii="Arial" w:cs="Arial" w:eastAsia="Arial" w:hAnsi="Arial"/>
                <w:color w:val="5F5F5F"/>
                <w:sz w:val="11"/>
                <w:szCs w:val="11"/>
              </w:rPr>
              <w:t xml:space="preserve">Source: Team calculation with Figure 20.3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20.5: </w:t>
            </w:r>
            <w:r>
              <w:rPr>
                <w:rFonts w:ascii="Arial" w:cs="Arial" w:eastAsia="Arial" w:hAnsi="Arial"/>
                <w:color w:val="14284B"/>
                <w:sz w:val="14"/>
                <w:szCs w:val="14"/>
              </w:rPr>
              <w:t xml:space="preserve">World growth and inflation, 2022–2026P (%)</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20.6: </w:t>
            </w:r>
            <w:r>
              <w:rPr>
                <w:rFonts w:ascii="Arial" w:cs="Arial" w:eastAsia="Arial" w:hAnsi="Arial"/>
                <w:color w:val="14284B"/>
                <w:sz w:val="14"/>
                <w:szCs w:val="14"/>
              </w:rPr>
              <w:t xml:space="preserve">Chile: GDP, inflation and policy rate, 2022–2026P (%)</w:t>
            </w:r>
          </w:p>
          <w:p>
            <w:pPr>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of earnings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bp = target price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traffic −1.3% / +2.4% of value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bp: target price from CLP 2,076 to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footfall and sales; pressure on occupancy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headerReference w:type="default" r:id="rId31"/>
      <w:footerReference w:type="default" r:id="rId32"/>
      <w:type w:val="continuous"/>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image" Target="media/bdb1c1e9ee808458ab9cd8f7987298a2c28ac32b.png"/><Relationship Id="rId34" Type="http://schemas.openxmlformats.org/officeDocument/2006/relationships/image" Target="media/b2b2d7c7efb3f30eb3d2f36989cfa14f2029adbe.png"/><Relationship Id="rId35" Type="http://schemas.openxmlformats.org/officeDocument/2006/relationships/image" Target="media/3e0d5cd7410072f621125f9466a47538b8484785.png"/><Relationship Id="rId36" Type="http://schemas.openxmlformats.org/officeDocument/2006/relationships/image" Target="media/930b12feb78c2a7223e3994135daa5f82e020ffe.png"/><Relationship Id="rId37" Type="http://schemas.openxmlformats.org/officeDocument/2006/relationships/image" Target="media/c38872059cd5731903c2ad5041f07c8d4699b365.png"/><Relationship Id="rId38" Type="http://schemas.openxmlformats.org/officeDocument/2006/relationships/image" Target="media/97008b1080de62d6fb081f52664a91d418d7934e.png"/><Relationship Id="rId39" Type="http://schemas.openxmlformats.org/officeDocument/2006/relationships/image" Target="media/ded5e1657640e653c8c5f59f77745d6d262bbdba.png"/><Relationship Id="rId40" Type="http://schemas.openxmlformats.org/officeDocument/2006/relationships/image" Target="media/9186d6d0fd41b9f3fd8c32d4b6b821345cc10ac1.png"/><Relationship Id="rId41" Type="http://schemas.openxmlformats.org/officeDocument/2006/relationships/image" Target="media/326703e0e66ff70cff5e7cdedeeb00baa383a9ec.png"/><Relationship Id="rId42" Type="http://schemas.openxmlformats.org/officeDocument/2006/relationships/image" Target="media/9570f91f852c6c39aad8d6f047dd2c1bef9ac37e.png"/><Relationship Id="rId43" Type="http://schemas.openxmlformats.org/officeDocument/2006/relationships/image" Target="media/addbc14aaf283e21f2e2e3b805c1e7edd232d409.png"/><Relationship Id="rId44" Type="http://schemas.openxmlformats.org/officeDocument/2006/relationships/image" Target="media/34cf5efedec970dddabf7ad7f0397fa946dde7af.png"/><Relationship Id="rId45" Type="http://schemas.openxmlformats.org/officeDocument/2006/relationships/image" Target="media/67d3af205c0720abae927a295402b8173067a71d.png"/><Relationship Id="rId46" Type="http://schemas.openxmlformats.org/officeDocument/2006/relationships/image" Target="media/0ecdedf336d9450fef0f4340e7d2f3445bf5d5ea.png"/><Relationship Id="rId47" Type="http://schemas.openxmlformats.org/officeDocument/2006/relationships/image" Target="media/0e8de6046ea8cf465c51ece1e2db1d0fdb7f5b9e.png"/><Relationship Id="rId48" Type="http://schemas.openxmlformats.org/officeDocument/2006/relationships/image" Target="media/fbaa45cc822c3cf6d5ceb7547cdd01441f6bb8f4.png"/><Relationship Id="rId49" Type="http://schemas.openxmlformats.org/officeDocument/2006/relationships/image" Target="media/100e719272ccd251c35d82999c2cbfdfab008b96.png"/><Relationship Id="rId50" Type="http://schemas.openxmlformats.org/officeDocument/2006/relationships/image" Target="media/614c883e6f2b898c089b825413644af7dee880dd.png"/><Relationship Id="rId51" Type="http://schemas.openxmlformats.org/officeDocument/2006/relationships/image" Target="media/a62342d9ec50c46f4e7f430f13c67905c743e7ce.png"/><Relationship Id="rId52" Type="http://schemas.openxmlformats.org/officeDocument/2006/relationships/image" Target="media/a98ec5db30a9b2fae58f506a01267ad00c0545c0.png"/><Relationship Id="rId53" Type="http://schemas.openxmlformats.org/officeDocument/2006/relationships/image" Target="media/8328ba562cddad3f672e3301050fb517a3b5f8aa.png"/><Relationship Id="rId54" Type="http://schemas.openxmlformats.org/officeDocument/2006/relationships/image" Target="media/30cb8469be326b2ca7bbe97b9caa7e1c4842f99d.png"/><Relationship Id="rId55" Type="http://schemas.openxmlformats.org/officeDocument/2006/relationships/image" Target="media/11ae97cbbba07ae07141e02f3be12fcfb32209b4.png"/><Relationship Id="rId56" Type="http://schemas.openxmlformats.org/officeDocument/2006/relationships/image" Target="media/d40688d44987d578c4578ea19e236ca614ea843a.png"/><Relationship Id="rId57" Type="http://schemas.openxmlformats.org/officeDocument/2006/relationships/image" Target="media/b3e445c9f34a4a944fb280d19258017788441bf7.png"/><Relationship Id="rId58" Type="http://schemas.openxmlformats.org/officeDocument/2006/relationships/image" Target="media/67c8ea2a55c01eaf39a5b555e17932328157a3b1.png"/><Relationship Id="rId59" Type="http://schemas.openxmlformats.org/officeDocument/2006/relationships/image" Target="media/f93973cef37e97655b8f2ee6a16d436dc31b144b.png"/><Relationship Id="rId60" Type="http://schemas.openxmlformats.org/officeDocument/2006/relationships/image" Target="media/622cee3aa81df98e2bbcd50166634b878e8dd818.png"/><Relationship Id="rId61" Type="http://schemas.openxmlformats.org/officeDocument/2006/relationships/image" Target="media/cf58b765b7de8ff377687c2671163528a8e708f3.png"/><Relationship Id="rId62" Type="http://schemas.openxmlformats.org/officeDocument/2006/relationships/image" Target="media/c59b24049313dff36dc84ade4dcb2534413819d0.png"/><Relationship Id="rId63" Type="http://schemas.openxmlformats.org/officeDocument/2006/relationships/image" Target="media/4629fff7f4d90544c6881dfa0ac0b1581647ead4.png"/><Relationship Id="rId64" Type="http://schemas.openxmlformats.org/officeDocument/2006/relationships/image" Target="media/d810a8de8705d486a1cc41f629d6e44a63c29c7d.png"/><Relationship Id="rId65" Type="http://schemas.openxmlformats.org/officeDocument/2006/relationships/image" Target="media/30db9ba6696526f51fce71150cb064598929c470.png"/><Relationship Id="rId66" Type="http://schemas.openxmlformats.org/officeDocument/2006/relationships/image" Target="media/79483e499b773861f736c4797e4f6cc8c65b3a9f.png"/><Relationship Id="rId67" Type="http://schemas.openxmlformats.org/officeDocument/2006/relationships/image" Target="media/6776e5c5d5e3b831d3a6082e34880dd0764b9702.png"/><Relationship Id="rId68" Type="http://schemas.openxmlformats.org/officeDocument/2006/relationships/image" Target="media/6c32e3d1a1d4ea4565596481224b7e392927ea41.png"/><Relationship Id="rId69" Type="http://schemas.openxmlformats.org/officeDocument/2006/relationships/image" Target="media/fb371acf9afb43003bfd5fcfe998ff3f42126817.png"/><Relationship Id="rId70" Type="http://schemas.openxmlformats.org/officeDocument/2006/relationships/image" Target="media/9d7f4f37ccf94ef7fd235868df77621056da952c.png"/><Relationship Id="rId71" Type="http://schemas.openxmlformats.org/officeDocument/2006/relationships/image" Target="media/1987ead589840fa585f367b9fb74310fee03f7dd.png"/><Relationship Id="rId72" Type="http://schemas.openxmlformats.org/officeDocument/2006/relationships/image" Target="media/a1a01b45d6be15873163d7f4df2b5d1388d71092.png"/><Relationship Id="rId73" Type="http://schemas.openxmlformats.org/officeDocument/2006/relationships/image" Target="media/74b785ab5dc6ff2d7a2669dbff7ca479845d79c7.png"/><Relationship Id="rId74" Type="http://schemas.openxmlformats.org/officeDocument/2006/relationships/image" Target="media/cad639ca5e0bdcd7eee0898b91cc8274ca418bf7.png"/><Relationship Id="rId75" Type="http://schemas.openxmlformats.org/officeDocument/2006/relationships/image" Target="media/b75d7c57b9f5e0f71be8fa7975bc23b67c6f4a4a.png"/><Relationship Id="rId76" Type="http://schemas.openxmlformats.org/officeDocument/2006/relationships/image" Target="media/7640993cad1d25805eb3ec4b6d40d373df297a1b.png"/><Relationship Id="rId77" Type="http://schemas.openxmlformats.org/officeDocument/2006/relationships/image" Target="media/097d9e68442f8586148a911de890f9b42b249cf6.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2026-10-14T19:08:31.598Z</dcterms:created>
  <dcterms:modified xsi:type="dcterms:W3CDTF">2026-10-14T19:08:31.598Z</dcterms:modified>
</cp:coreProperties>
</file>

<file path=docProps/custom.xml><?xml version="1.0" encoding="utf-8"?>
<Properties xmlns="http://schemas.openxmlformats.org/officeDocument/2006/custom-properties" xmlns:vt="http://schemas.openxmlformats.org/officeDocument/2006/docPropsVTypes"/>
</file>