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it is followed by inflation and weaker macro momentum.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places each risk in a 3x3 matrix by likelihood and impact (low, medium, high); the colour of each label shows its category. Impact is measured as the effect on value per share, using the operational tornado (Figure 24), the WACC and g sensitivity (Figure 25) and the UF sensitivity (Figure 26). Risks that could not be quantified with the model (RR1 and RR2) are placed according to the team's qualitative analysis. Interest-rate risk (FR1) sits in the most severe cell (high/high), and inflation and the macro cycle (MR1) also fall in the red zone; operating deterioration (OR1) and FX (MR3) sit in the centre.</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24). </w:t>
            </w:r>
            <w:r>
              <w:rPr>
                <w:rFonts w:ascii="Arial" w:cs="Arial" w:eastAsia="Arial" w:hAnsi="Arial"/>
                <w:i/>
                <w:iCs/>
                <w:color w:val="5F5F5F"/>
                <w:sz w:val="16"/>
                <w:szCs w:val="16"/>
              </w:rPr>
              <w:t xml:space="preserve">(Non‑systematic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24). </w:t>
            </w:r>
            <w:r>
              <w:rPr>
                <w:rFonts w:ascii="Arial" w:cs="Arial" w:eastAsia="Arial" w:hAnsi="Arial"/>
                <w:i/>
                <w:iCs/>
                <w:color w:val="5F5F5F"/>
                <w:sz w:val="16"/>
                <w:szCs w:val="16"/>
              </w:rPr>
              <w:t xml:space="preserve">(Non‑systematic · Low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26). The risk is that weaker consumption prevents passing the UF through to rents: without that pass-through, UF +3% takes 0.9% off the target price. Weaker consumption also slows the new business lines (Appendix [X]). </w:t>
            </w:r>
            <w:r>
              <w:rPr>
                <w:rFonts w:ascii="Arial" w:cs="Arial" w:eastAsia="Arial" w:hAnsi="Arial"/>
                <w:i/>
                <w:iCs/>
                <w:color w:val="5F5F5F"/>
                <w:sz w:val="16"/>
                <w:szCs w:val="16"/>
              </w:rPr>
              <w:t xml:space="preserve">(Systematic · High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All three governments took office in 2026 with pro-investment agendas, but with different fiscal and legislative room (see Political and economic context): in Chile the corporate tax cut is already law, in Peru the government lacks its own majority, and in Colombia fiscal tightening and high rates weigh on consumption. Permit delays push back pipeline revenue (USD 613 million, 170,200 m² to 2028), with limited value sensitivity.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Law 21,770 (Sep-25) shortens permitting times and Colombia contributes only ~11% of revenue. The model keeps 27%: applying the cut to the Chilean share would lift DCF value ~5.4% (+3.9% on the target price), still far from the market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21526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tc>
      </w:tr>
    </w:tbl>
    <w:p>
      <w:pPr>
        <w:pageBreakBefore/>
        <w:spacing w:after="0" w:before="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SENSITIVITY ANALYSIS</w:t>
            </w:r>
          </w:p>
          <w:p>
            <w:pPr>
              <w:spacing w:after="40" w:before="0" w:line="228" w:lineRule="auto"/>
              <w:jc w:val="both"/>
            </w:pPr>
            <w:r>
              <w:rPr>
                <w:rFonts w:ascii="Arial" w:cs="Arial" w:eastAsia="Arial" w:hAnsi="Arial"/>
                <w:color w:val="1A1A1A"/>
                <w:sz w:val="16"/>
                <w:szCs w:val="16"/>
              </w:rPr>
              <w:t xml:space="preserve">Value is more sensitive to the discount rate than to operations in the scenarios assessed. The worst operating case, EBITDA margin, takes 10.0% off DCF value (Figure 24), while +100 bp of WACC takes 17.2% off (12.3% of the target price, Figure 25). The current price implies a cap rate close to 6.0%, versus 10.1% in the DCF: the market prices in a low discount rate, which increases the stock's exposure to higher rates. A higher g lowers value because RONIC (5.0%) is below the real WACC (7.2%). The UF barely moves value (+1.1% with UF +3%), as indexed rents offset UF debt. Even the best cell in Figure 25 (CLP 2,487) is below the CLP 3,555 share price, so the recommendation stands.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Target price sensitivity to a rise in the UF (CLP per share)</w:t>
            </w:r>
          </w:p>
          <w:p>
            <w:pPr>
              <w:spacing w:after="20" w:before="0"/>
            </w:pPr>
            <w:r>
              <w:drawing>
                <wp:inline distT="0" distB="0" distL="0" distR="0">
                  <wp:extent cx="2257425"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3716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UF level shock from 2027E, with WACC and g constant. Rents: model's Chile CPI (80% of the target price via DCF); debt: net UF exposure implied by Note 26 (CLP 1.29 trillion). Earnings: +3% reported, +1% and +2% linear extrapolation. Source: Mallplaza financial statements Jun-26, Note 26; Team analysis.</w:t>
            </w:r>
          </w:p>
        </w:tc>
      </w:tr>
    </w:tbl>
    <w:p>
      <w:pPr>
        <w:pBdr>
          <w:bottom w:val="single" w:color="E9004B" w:sz="8" w:space="1"/>
        </w:pBdr>
        <w:spacing w:after="50" w:before="110"/>
      </w:pPr>
      <w:r>
        <w:rPr>
          <w:rFonts w:ascii="Arial" w:cs="Arial" w:eastAsia="Arial" w:hAnsi="Arial"/>
          <w:b/>
          <w:bCs/>
          <w:color w:val="14284B"/>
          <w:sz w:val="16"/>
          <w:szCs w:val="16"/>
        </w:rPr>
        <w:t xml:space="preserve">POLITICAL AND ECONOMIC CONTEXT 2026</w:t>
      </w:r>
    </w:p>
    <w:tbl>
      <w:tblPr>
        <w:tblW w:type="dxa" w:w="10666"/>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250"/>
        <w:gridCol w:w="3416"/>
      </w:tblGrid>
      <w:tr>
        <w:trPr>
          <w:tblHeader/>
        </w:trPr>
        <w:tc>
          <w:tcPr>
            <w:tcW w:type="dxa" w:w="1300"/>
            <w:tcBorders>
              <w:top w:val="single" w:color="D5D9E0" w:sz="4"/>
              <w:left w:val="none" w:color="FFFFFF" w:sz="0"/>
              <w:bottom w:val="single" w:color="D5D9E0" w:sz="4"/>
              <w:right w:val="none" w:color="FFFFFF" w:sz="0"/>
            </w:tcBorders>
            <w:shd w:fill="14284B"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FFFFFF"/>
                <w:sz w:val="14"/>
                <w:szCs w:val="14"/>
              </w:rPr>
              <w:t xml:space="preserve">Country</w:t>
            </w:r>
          </w:p>
        </w:tc>
        <w:tc>
          <w:tcPr>
            <w:tcW w:type="dxa" w:w="1700"/>
            <w:tcBorders>
              <w:top w:val="single" w:color="D5D9E0" w:sz="4"/>
              <w:left w:val="none" w:color="FFFFFF" w:sz="0"/>
              <w:bottom w:val="single" w:color="D5D9E0" w:sz="4"/>
              <w:right w:val="none" w:color="FFFFFF" w:sz="0"/>
            </w:tcBorders>
            <w:shd w:fill="14284B"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FFFFFF"/>
                <w:sz w:val="14"/>
                <w:szCs w:val="14"/>
              </w:rPr>
              <w:t xml:space="preserve">Government</w:t>
            </w:r>
          </w:p>
        </w:tc>
        <w:tc>
          <w:tcPr>
            <w:tcW w:type="dxa" w:w="4250"/>
            <w:tcBorders>
              <w:top w:val="single" w:color="D5D9E0" w:sz="4"/>
              <w:left w:val="none" w:color="FFFFFF" w:sz="0"/>
              <w:bottom w:val="single" w:color="D5D9E0" w:sz="4"/>
              <w:right w:val="none" w:color="FFFFFF" w:sz="0"/>
            </w:tcBorders>
            <w:shd w:fill="14284B"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FFFFFF"/>
                <w:sz w:val="14"/>
                <w:szCs w:val="14"/>
              </w:rPr>
              <w:t xml:space="preserve">Measures and signals</w:t>
            </w:r>
          </w:p>
        </w:tc>
        <w:tc>
          <w:tcPr>
            <w:tcW w:type="dxa" w:w="3416"/>
            <w:tcBorders>
              <w:top w:val="single" w:color="D5D9E0" w:sz="4"/>
              <w:left w:val="none" w:color="FFFFFF" w:sz="0"/>
              <w:bottom w:val="single" w:color="D5D9E0" w:sz="4"/>
              <w:right w:val="none" w:color="FFFFFF" w:sz="0"/>
            </w:tcBorders>
            <w:shd w:fill="14284B"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FFFFFF"/>
                <w:sz w:val="14"/>
                <w:szCs w:val="14"/>
              </w:rPr>
              <w:t xml:space="preserve">Implication for Mallplaza</w:t>
            </w:r>
          </w:p>
        </w:tc>
      </w:tr>
      <w:tr>
        <w:trPr>
          <w:cantSplit/>
        </w:trPr>
        <w:tc>
          <w:tcPr>
            <w:tcW w:type="dxa" w:w="130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Chile</w:t>
            </w:r>
          </w:p>
          <w:p>
            <w:pPr>
              <w:spacing w:after="0" w:before="0" w:line="216" w:lineRule="auto"/>
              <w:jc w:val="left"/>
            </w:pPr>
            <w:r>
              <w:rPr>
                <w:rFonts w:ascii="Arial" w:cs="Arial" w:eastAsia="Arial" w:hAnsi="Arial"/>
                <w:b w:val="false"/>
                <w:bCs w:val="false"/>
                <w:color w:val="5F5F5F"/>
                <w:sz w:val="13"/>
                <w:szCs w:val="13"/>
              </w:rPr>
              <w:t xml:space="preserve">~71% of revenue</w:t>
            </w:r>
          </w:p>
        </w:tc>
        <w:tc>
          <w:tcPr>
            <w:tcW w:type="dxa" w:w="170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José Antonio Kast</w:t>
            </w:r>
          </w:p>
          <w:p>
            <w:pPr>
              <w:spacing w:after="0" w:before="0" w:line="216" w:lineRule="auto"/>
              <w:jc w:val="left"/>
            </w:pPr>
            <w:r>
              <w:rPr>
                <w:rFonts w:ascii="Arial" w:cs="Arial" w:eastAsia="Arial" w:hAnsi="Arial"/>
                <w:b w:val="false"/>
                <w:bCs w:val="false"/>
                <w:color w:val="5F5F5F"/>
                <w:sz w:val="13"/>
                <w:szCs w:val="13"/>
              </w:rPr>
              <w:t xml:space="preserve">(since Mar-26)</w:t>
            </w:r>
          </w:p>
        </w:tc>
        <w:tc>
          <w:tcPr>
            <w:tcW w:type="dxa" w:w="425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Signed the Reconstruction Law (9-Oct-26): corporate tax from 27% to 23% gradually from 2027 and tax invariability [1]. 2027 budget with spending +2.7% vs the 2026 law [2]. S&amp;P affirmed A stable (Sep-26) [3]. Policy rate 4.5% [4]. Stable Senate, fragile lower house [5].</w:t>
            </w:r>
          </w:p>
        </w:tc>
        <w:tc>
          <w:tcPr>
            <w:tcW w:type="dxa" w:w="3416"/>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Positive: lower tax (+3.9% on the target price if applied, not included) and faster permits (Law 21,770). Risk: passing the rest of the agenda depends on a lower house without a comfortable majority.</w:t>
            </w:r>
          </w:p>
        </w:tc>
      </w:tr>
      <w:tr>
        <w:trPr>
          <w:cantSplit/>
        </w:trPr>
        <w:tc>
          <w:tcPr>
            <w:tcW w:type="dxa" w:w="1300"/>
            <w:tcBorders>
              <w:top w:val="single" w:color="D5D9E0" w:sz="4"/>
              <w:left w:val="none" w:color="FFFFFF" w:sz="0"/>
              <w:bottom w:val="single" w:color="D5D9E0" w:sz="4"/>
              <w:right w:val="none" w:color="FFFFFF" w:sz="0"/>
            </w:tcBorders>
            <w:shd w:fill="EEF1F6"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Peru</w:t>
            </w:r>
          </w:p>
          <w:p>
            <w:pPr>
              <w:spacing w:after="0" w:before="0" w:line="216" w:lineRule="auto"/>
              <w:jc w:val="left"/>
            </w:pPr>
            <w:r>
              <w:rPr>
                <w:rFonts w:ascii="Arial" w:cs="Arial" w:eastAsia="Arial" w:hAnsi="Arial"/>
                <w:b w:val="false"/>
                <w:bCs w:val="false"/>
                <w:color w:val="5F5F5F"/>
                <w:sz w:val="13"/>
                <w:szCs w:val="13"/>
              </w:rPr>
              <w:t xml:space="preserve">~19% of revenue</w:t>
            </w:r>
          </w:p>
        </w:tc>
        <w:tc>
          <w:tcPr>
            <w:tcW w:type="dxa" w:w="1700"/>
            <w:tcBorders>
              <w:top w:val="single" w:color="D5D9E0" w:sz="4"/>
              <w:left w:val="none" w:color="FFFFFF" w:sz="0"/>
              <w:bottom w:val="single" w:color="D5D9E0" w:sz="4"/>
              <w:right w:val="none" w:color="FFFFFF" w:sz="0"/>
            </w:tcBorders>
            <w:shd w:fill="EEF1F6"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Keiko Fujimori</w:t>
            </w:r>
          </w:p>
          <w:p>
            <w:pPr>
              <w:spacing w:after="0" w:before="0" w:line="216" w:lineRule="auto"/>
              <w:jc w:val="left"/>
            </w:pPr>
            <w:r>
              <w:rPr>
                <w:rFonts w:ascii="Arial" w:cs="Arial" w:eastAsia="Arial" w:hAnsi="Arial"/>
                <w:b w:val="false"/>
                <w:bCs w:val="false"/>
                <w:color w:val="5F5F5F"/>
                <w:sz w:val="13"/>
                <w:szCs w:val="13"/>
              </w:rPr>
              <w:t xml:space="preserve">(since 28-Jul-26)</w:t>
            </w:r>
          </w:p>
        </w:tc>
        <w:tc>
          <w:tcPr>
            <w:tcW w:type="dxa" w:w="4250"/>
            <w:tcBorders>
              <w:top w:val="single" w:color="D5D9E0" w:sz="4"/>
              <w:left w:val="none" w:color="FFFFFF" w:sz="0"/>
              <w:bottom w:val="single" w:color="D5D9E0" w:sz="4"/>
              <w:right w:val="none" w:color="FFFFFF" w:sz="0"/>
            </w:tcBorders>
            <w:shd w:fill="EEF1F6" w:color="auto" w:val="clear"/>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Minimum wage from S/ 1,130 to 1,300 and Pensión 65 doubled (S/ 350 to 700) [6]. 2027 budget of S/ 266,506 million, consistent with a 1.4% of GDP deficit [7]. BCRP holds at 4.25% [8]. Fuerza Popular lacks a majority in the bicameral Congress [9].</w:t>
            </w:r>
          </w:p>
        </w:tc>
        <w:tc>
          <w:tcPr>
            <w:tcW w:type="dxa" w:w="3416"/>
            <w:tcBorders>
              <w:top w:val="single" w:color="D5D9E0" w:sz="4"/>
              <w:left w:val="none" w:color="FFFFFF" w:sz="0"/>
              <w:bottom w:val="single" w:color="D5D9E0" w:sz="4"/>
              <w:right w:val="none" w:color="FFFFFF" w:sz="0"/>
            </w:tcBorders>
            <w:shd w:fill="EEF1F6" w:color="auto" w:val="clear"/>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Positive for consumption and tenant sales. Risk: governability and the fiscal cost of laws passed by the previous Congress (up to S/ 50,000 million per the MEF) [7].</w:t>
            </w:r>
          </w:p>
        </w:tc>
      </w:tr>
      <w:tr>
        <w:trPr>
          <w:cantSplit/>
        </w:trPr>
        <w:tc>
          <w:tcPr>
            <w:tcW w:type="dxa" w:w="130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Colombia</w:t>
            </w:r>
          </w:p>
          <w:p>
            <w:pPr>
              <w:spacing w:after="0" w:before="0" w:line="216" w:lineRule="auto"/>
              <w:jc w:val="left"/>
            </w:pPr>
            <w:r>
              <w:rPr>
                <w:rFonts w:ascii="Arial" w:cs="Arial" w:eastAsia="Arial" w:hAnsi="Arial"/>
                <w:b w:val="false"/>
                <w:bCs w:val="false"/>
                <w:color w:val="5F5F5F"/>
                <w:sz w:val="13"/>
                <w:szCs w:val="13"/>
              </w:rPr>
              <w:t xml:space="preserve">~11% of revenue</w:t>
            </w:r>
          </w:p>
        </w:tc>
        <w:tc>
          <w:tcPr>
            <w:tcW w:type="dxa" w:w="170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Abelardo de la Espriella</w:t>
            </w:r>
          </w:p>
          <w:p>
            <w:pPr>
              <w:spacing w:after="0" w:before="0" w:line="216" w:lineRule="auto"/>
              <w:jc w:val="left"/>
            </w:pPr>
            <w:r>
              <w:rPr>
                <w:rFonts w:ascii="Arial" w:cs="Arial" w:eastAsia="Arial" w:hAnsi="Arial"/>
                <w:b w:val="false"/>
                <w:bCs w:val="false"/>
                <w:color w:val="5F5F5F"/>
                <w:sz w:val="13"/>
                <w:szCs w:val="13"/>
              </w:rPr>
              <w:t xml:space="preserve">(since 7-Aug-26)</w:t>
            </w:r>
          </w:p>
        </w:tc>
        <w:tc>
          <w:tcPr>
            <w:tcW w:type="dxa" w:w="425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The finance ministry puts the deficit at 7.8% of GDP and proposes spending cuts of at least 1% of GDP [10]; tax reform to lower the corporate burden [11]. The central bank raised its rate to 12.25% (30-Sep-26) [12]. S&amp;P BB- stable [13].</w:t>
            </w:r>
          </w:p>
        </w:tc>
        <w:tc>
          <w:tcPr>
            <w:tcW w:type="dxa" w:w="3416"/>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Short-term negative: fiscal tightening and high rates slow consumption and pressure the COP (MR3). Limited weight in value.</w:t>
            </w:r>
          </w:p>
        </w:tc>
      </w:tr>
    </w:tbl>
    <w:p>
      <w:pPr>
        <w:spacing w:after="0" w:before="50" w:line="216" w:lineRule="auto"/>
        <w:jc w:val="both"/>
      </w:pPr>
      <w:r>
        <w:rPr>
          <w:rFonts w:ascii="Arial" w:cs="Arial" w:eastAsia="Arial" w:hAnsi="Arial"/>
          <w:color w:val="5F5F5F"/>
          <w:sz w:val="11"/>
          <w:szCs w:val="11"/>
        </w:rPr>
        <w:t xml:space="preserve">[1] Emol, 9-Oct-26, “Ley de Reconstrucción promulgada”; CNN Chile, Oct-26. [2] Diario Financiero / El Mostrador, 3-Oct-26. [3] Chilean Ministry of Finance, note on Fitch and S&amp;P, Sep-26. [4] Central Bank of Chile, Oct-26 meeting. [5] El Dínamo, 11-Mar-26. [6] Infobae / La República (Peru), 28-Jul-26. [7] Infobae, 29-Aug-26; El Comercio (MEF). [8] Infobae, 11-Sep-26. [9] América TV, 2026. [10] El Tiempo / La Silla Vacía, Jul-26. [11] Valora Analitik / El Colombiano, 2026. [12] Banco de la República, statement 30-Sep-26. [13] IRC – Colombian Ministry of Finance. Revenue shares 2026E: team model. Source: Team analysis.</w:t>
      </w:r>
    </w:p>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e39cbbbde90689e05c80b0a468cf5f3043796d.png"/><Relationship Id="rId10" Type="http://schemas.openxmlformats.org/officeDocument/2006/relationships/image" Target="media/4c14c0c35dfad7eb69ab7f273d16edf0ee468013.png"/><Relationship Id="rId11" Type="http://schemas.openxmlformats.org/officeDocument/2006/relationships/image" Target="media/4f56fdb52a249cd7f67aa27e094689117240e17a.png"/><Relationship Id="rId12" Type="http://schemas.openxmlformats.org/officeDocument/2006/relationships/image" Target="media/96d9b727237e4b51cff711de5a77edc405e78bc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2026-10-12T22:59:35.826Z</dcterms:created>
  <dcterms:modified xsi:type="dcterms:W3CDTF">2026-10-12T22:59:35.826Z</dcterms:modified>
</cp:coreProperties>
</file>

<file path=docProps/custom.xml><?xml version="1.0" encoding="utf-8"?>
<Properties xmlns="http://schemas.openxmlformats.org/officeDocument/2006/custom-properties" xmlns:vt="http://schemas.openxmlformats.org/officeDocument/2006/docPropsVTypes"/>
</file>