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RIESGOS DE INVERSIÓN</w:t>
      </w:r>
    </w:p>
    <w:p>
      <w:pPr>
        <w:shd w:fill="EEF1F6" w:color="auto" w:val="clear"/>
        <w:spacing w:after="80" w:before="0" w:line="228" w:lineRule="auto"/>
        <w:jc w:val="both"/>
      </w:pPr>
      <w:r>
        <w:rPr>
          <w:rFonts w:ascii="Arial" w:cs="Arial" w:eastAsia="Arial" w:hAnsi="Arial"/>
          <w:color w:val="1A1A1A"/>
          <w:sz w:val="16"/>
          <w:szCs w:val="16"/>
        </w:rPr>
        <w:t xml:space="preserve">El perfil de riesgo de Mallplaza es moderado: su operación es resiliente y el valor depende sobre todo de variables de mercado. El principal riesgo, de probabilidad alta, es un alza de las tasas de largo plazo, que presiona el rendimiento de los bonos y eleva la WACC; le siguen la inflación y un menor dinamismo macro. Ni siquiera los escenarios favorables justifican el precio de mercado a la fecha del informe.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10"/>
            </w:pPr>
            <w:r>
              <w:rPr>
                <w:rFonts w:ascii="Arial" w:cs="Arial" w:eastAsia="Arial" w:hAnsi="Arial"/>
                <w:b/>
                <w:bCs/>
                <w:color w:val="14284B"/>
                <w:sz w:val="16"/>
                <w:szCs w:val="16"/>
              </w:rPr>
              <w:t xml:space="preserve">EVALUACIÓN DE RIESGOS</w:t>
            </w:r>
          </w:p>
          <w:p>
            <w:pPr>
              <w:spacing w:after="40" w:before="0" w:line="228" w:lineRule="auto"/>
              <w:jc w:val="both"/>
            </w:pPr>
            <w:r>
              <w:rPr>
                <w:rFonts w:ascii="Arial" w:cs="Arial" w:eastAsia="Arial" w:hAnsi="Arial"/>
                <w:color w:val="1A1A1A"/>
                <w:sz w:val="16"/>
                <w:szCs w:val="16"/>
              </w:rPr>
              <w:t xml:space="preserve">La Figura 23 ubica cada riesgo en una matriz 3x3 según su probabilidad y su impacto (bajo, medio, alto); el color de cada etiqueta indica su categoría. El impacto se mide por el efecto sobre el valor por acción, usando el tornado operacional (Figura 24), la sensibilidad a WACC y g (Figura 25) y la sensibilidad a la UF (Figura 26). Los riesgos que no se pudieron cuantificar con el modelo (RR1 y RR2) se ubican según el análisis cualitativo del equipo. El riesgo de tasas (FR1) ocupa la celda de mayor severidad (alta/alta) y el de inflación y ciclo macro (MR1) también queda en la zona roja; el deterioro operacional (OR1) y el cambiario (MR3) quedan en el centro.</w:t>
            </w:r>
          </w:p>
          <w:p>
            <w:pPr>
              <w:pBdr>
                <w:bottom w:val="single" w:color="E9004B" w:sz="8" w:space="1"/>
              </w:pBdr>
              <w:spacing w:after="50" w:before="110"/>
            </w:pPr>
            <w:r>
              <w:rPr>
                <w:rFonts w:ascii="Arial" w:cs="Arial" w:eastAsia="Arial" w:hAnsi="Arial"/>
                <w:b/>
                <w:bCs/>
                <w:color w:val="14284B"/>
                <w:sz w:val="16"/>
                <w:szCs w:val="16"/>
              </w:rPr>
              <w:t xml:space="preserve">RIESGOS OPERACIONALES</w:t>
            </w:r>
          </w:p>
          <w:p>
            <w:pPr>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Deterioro operacional. </w:t>
            </w:r>
            <w:r>
              <w:rPr>
                <w:rFonts w:ascii="Arial" w:cs="Arial" w:eastAsia="Arial" w:hAnsi="Arial"/>
                <w:color w:val="1A1A1A"/>
                <w:sz w:val="16"/>
                <w:szCs w:val="16"/>
              </w:rPr>
              <w:t xml:space="preserve">Caídas de margen EBITDA, rentas, tráfico u ocupación hacia sus mínimos históricos. El peor caso, un margen de 75,8%, reduce el valor DCF a CLP 1.671 (−10,0%), y el piso histórico del crecimiento de rentas en mismas tiendas lo lleva a CLP 1.782 (−4,0%) (Figura 24). </w:t>
            </w:r>
            <w:r>
              <w:rPr>
                <w:rFonts w:ascii="Arial" w:cs="Arial" w:eastAsia="Arial" w:hAnsi="Arial"/>
                <w:i/>
                <w:iCs/>
                <w:color w:val="5F5F5F"/>
                <w:sz w:val="16"/>
                <w:szCs w:val="16"/>
              </w:rPr>
              <w:t xml:space="preserve">(No sistemático · Prob. media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métricas estables: margen EBITDA de 76,2% (2022) a 80,5% (2025) y ocupación entre 95,5% y 96,6% en 2024-25. Tras el COVID, los ingresos del 1T22 ya superaban en 18% a los del 1T19.</w:t>
            </w:r>
          </w:p>
          <w:p>
            <w:pPr>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Tiendas ancla. </w:t>
            </w:r>
            <w:r>
              <w:rPr>
                <w:rFonts w:ascii="Arial" w:cs="Arial" w:eastAsia="Arial" w:hAnsi="Arial"/>
                <w:color w:val="1A1A1A"/>
                <w:sz w:val="16"/>
                <w:szCs w:val="16"/>
              </w:rPr>
              <w:t xml:space="preserve">Las anclas, en su mayoría del grupo Falabella, atraen el flujo de visitas. Su reducción o salida bajaría las visitas y las rentas de las tiendas menores. El impacto va de −1,3% a −4,0% (Figura 24). </w:t>
            </w:r>
            <w:r>
              <w:rPr>
                <w:rFonts w:ascii="Arial" w:cs="Arial" w:eastAsia="Arial" w:hAnsi="Arial"/>
                <w:i/>
                <w:iCs/>
                <w:color w:val="5F5F5F"/>
                <w:sz w:val="16"/>
                <w:szCs w:val="16"/>
              </w:rPr>
              <w:t xml:space="preserve">(No sistemático · Prob. baja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contratos de largo plazo (duración remanente promedio de 7,1 años) y capacidad probada de reconvertir espacios ancla en tiendas menores con mayor renta por m².</w:t>
            </w:r>
          </w:p>
          <w:p>
            <w:pPr>
              <w:pBdr>
                <w:bottom w:val="single" w:color="E9004B" w:sz="8" w:space="1"/>
              </w:pBdr>
              <w:spacing w:after="50" w:before="110"/>
            </w:pPr>
            <w:r>
              <w:rPr>
                <w:rFonts w:ascii="Arial" w:cs="Arial" w:eastAsia="Arial" w:hAnsi="Arial"/>
                <w:b/>
                <w:bCs/>
                <w:color w:val="14284B"/>
                <w:sz w:val="16"/>
                <w:szCs w:val="16"/>
              </w:rPr>
              <w:t xml:space="preserve">RIESGOS FINANCIEROS</w:t>
            </w:r>
          </w:p>
          <w:p>
            <w:pPr>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Tasas de interés y costo de capital. </w:t>
            </w:r>
            <w:r>
              <w:rPr>
                <w:rFonts w:ascii="Arial" w:cs="Arial" w:eastAsia="Arial" w:hAnsi="Arial"/>
                <w:color w:val="1A1A1A"/>
                <w:sz w:val="16"/>
                <w:szCs w:val="16"/>
              </w:rPr>
              <w:t xml:space="preserve">Un alza de tasas largas elevaría la WACC y el costo de refinanciar la deuda y el pipeline. La probabilidad es alta: el UST 10Y pasó de 4,98% (Rf del modelo) a 5,22% al 8-oct-26, máximo en 24 años (desde 2002); la Fed subió su tasa en septiembre y las tasas largas locales también suben. Con WACC +50 pb y +100 pb, el precio objetivo cae 6,5% y 12,3% (Figura 25). </w:t>
            </w:r>
            <w:r>
              <w:rPr>
                <w:rFonts w:ascii="Arial" w:cs="Arial" w:eastAsia="Arial" w:hAnsi="Arial"/>
                <w:i/>
                <w:iCs/>
                <w:color w:val="5F5F5F"/>
                <w:sz w:val="16"/>
                <w:szCs w:val="16"/>
              </w:rPr>
              <w:t xml:space="preserve">(Sistemático · Prob. alta · Impacto alto)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79% de la deuda en UF a tasa fija, duración de ~6,7 años, DFN/EBITDA de 2,36x y rating AA+/BBB acotan el traspaso al costo de la deuda; los arriendos en UF compensan alzas inflacionarias. El alza de la tasa de descuento del patrimonio no es cubrible.</w:t>
            </w:r>
          </w:p>
          <w:p>
            <w:pPr>
              <w:pBdr>
                <w:bottom w:val="single" w:color="E9004B" w:sz="8" w:space="1"/>
              </w:pBdr>
              <w:spacing w:after="50" w:before="110"/>
            </w:pPr>
            <w:r>
              <w:rPr>
                <w:rFonts w:ascii="Arial" w:cs="Arial" w:eastAsia="Arial" w:hAnsi="Arial"/>
                <w:b/>
                <w:bCs/>
                <w:color w:val="14284B"/>
                <w:sz w:val="16"/>
                <w:szCs w:val="16"/>
              </w:rPr>
              <w:t xml:space="preserve">RIESGOS DE MERCADO Y MACROECONÓMICOS</w:t>
            </w:r>
          </w:p>
          <w:p>
            <w:pPr>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Inflación y ciclo macro. </w:t>
            </w:r>
            <w:r>
              <w:rPr>
                <w:rFonts w:ascii="Arial" w:cs="Arial" w:eastAsia="Arial" w:hAnsi="Arial"/>
                <w:color w:val="1A1A1A"/>
                <w:sz w:val="16"/>
                <w:szCs w:val="16"/>
              </w:rPr>
              <w:t xml:space="preserve">El 79% de la deuda está en UF: una UF 3% más alta resta CLP 38.691 MM a la utilidad contable (Nota 26). Sobre el precio objetivo, en cambio, el efecto es levemente positivo: las rentas indexadas suman CLP 40,8 por acción y la mayor deuda en UF resta 17,7, con un neto de +23,1 (+1,1%) (Figura 26). El riesgo está en que un menor consumo impida traspasar la UF a las rentas: sin ese traspaso, la UF +3% resta 0,9% al precio objetivo. Un menor consumo también frena las nuevas líneas de negocio (Anexo [X]). </w:t>
            </w:r>
            <w:r>
              <w:rPr>
                <w:rFonts w:ascii="Arial" w:cs="Arial" w:eastAsia="Arial" w:hAnsi="Arial"/>
                <w:i/>
                <w:iCs/>
                <w:color w:val="5F5F5F"/>
                <w:sz w:val="16"/>
                <w:szCs w:val="16"/>
              </w:rPr>
              <w:t xml:space="preserve">(Sistemático · Prob. alta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rentas indexadas a la UF, modelo basado en arriendo más que en ventas, deuda baja aunque creciente y capacidad activa de rotar el portafolio.</w:t>
            </w:r>
          </w:p>
          <w:p>
            <w:pPr>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Comercio electrónico. </w:t>
            </w:r>
            <w:r>
              <w:rPr>
                <w:rFonts w:ascii="Arial" w:cs="Arial" w:eastAsia="Arial" w:hAnsi="Arial"/>
                <w:color w:val="1A1A1A"/>
                <w:sz w:val="16"/>
                <w:szCs w:val="16"/>
              </w:rPr>
              <w:t xml:space="preserve">Si el consumo migra masivamente al canal online, el mall pierde tráfico y atractivo. El e-commerce en Chile superó US$ 10.000 MM en 2025 (12,6% de las ventas del comercio). El peor caso de tráfico solo resta 1,3% al valor (Figura 24). </w:t>
            </w:r>
            <w:r>
              <w:rPr>
                <w:rFonts w:ascii="Arial" w:cs="Arial" w:eastAsia="Arial" w:hAnsi="Arial"/>
                <w:i/>
                <w:iCs/>
                <w:color w:val="5F5F5F"/>
                <w:sz w:val="16"/>
                <w:szCs w:val="16"/>
              </w:rPr>
              <w:t xml:space="preserve">(Sistemático · Prob. baja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el canal online está madurando sin efecto visible en el modelo (visitas +16% en 2025). Los malls ofrecen entretención y gastronomía, difíciles de replicar online.</w:t>
            </w:r>
          </w:p>
          <w:p>
            <w:pPr>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Tipo de cambio. </w:t>
            </w:r>
            <w:r>
              <w:rPr>
                <w:rFonts w:ascii="Arial" w:cs="Arial" w:eastAsia="Arial" w:hAnsi="Arial"/>
                <w:color w:val="1A1A1A"/>
                <w:sz w:val="16"/>
                <w:szCs w:val="16"/>
              </w:rPr>
              <w:t xml:space="preserve">Cerca del 28% de los ingresos viene de Perú y Colombia, y el modelo supone un sol que sube de CLP 268 a 290 entre 2026 y 2031. Una depreciación de 10% del PEN y del COP desde 2027E resta 4,3% al valor DCF, antes del efecto de las coberturas y de la deuda local (cálculo del equipo). </w:t>
            </w:r>
            <w:r>
              <w:rPr>
                <w:rFonts w:ascii="Arial" w:cs="Arial" w:eastAsia="Arial" w:hAnsi="Arial"/>
                <w:i/>
                <w:iCs/>
                <w:color w:val="5F5F5F"/>
                <w:sz w:val="16"/>
                <w:szCs w:val="16"/>
              </w:rPr>
              <w:t xml:space="preserve">(Sistemático · Prob. media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Mallplaza radica su deuda en las monedas de cada país y, si no es posible, usa derivados de cobertura (forwards, swaps y cross currency swaps) (Análisis Razonado 2T26, p. 14).</w:t>
            </w:r>
          </w:p>
          <w:p>
            <w:pPr>
              <w:pBdr>
                <w:bottom w:val="single" w:color="E9004B" w:sz="8" w:space="1"/>
              </w:pBdr>
              <w:spacing w:after="50" w:before="110"/>
            </w:pPr>
            <w:r>
              <w:rPr>
                <w:rFonts w:ascii="Arial" w:cs="Arial" w:eastAsia="Arial" w:hAnsi="Arial"/>
                <w:b/>
                <w:bCs/>
                <w:color w:val="14284B"/>
                <w:sz w:val="16"/>
                <w:szCs w:val="16"/>
              </w:rPr>
              <w:t xml:space="preserve">RIESGOS REGULATORIOS Y ESG</w:t>
            </w:r>
          </w:p>
          <w:p>
            <w:pPr>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y conflictos de interés. </w:t>
            </w:r>
            <w:r>
              <w:rPr>
                <w:rFonts w:ascii="Arial" w:cs="Arial" w:eastAsia="Arial" w:hAnsi="Arial"/>
                <w:color w:val="1A1A1A"/>
                <w:sz w:val="16"/>
                <w:szCs w:val="16"/>
              </w:rPr>
              <w:t xml:space="preserve">Falabella controla el 53,05% y arrienda espacios (Falabella, Sodimac, Tottus), lo que genera cuentas por cobrar con relacionadas. Fernando de Peña, gerente de Mallplaza por décadas, preside Falabella desde marzo de 2026. Contratos fuera de mercado afectarían directamente las rentas y el valor. </w:t>
            </w:r>
            <w:r>
              <w:rPr>
                <w:rFonts w:ascii="Arial" w:cs="Arial" w:eastAsia="Arial" w:hAnsi="Arial"/>
                <w:i/>
                <w:iCs/>
                <w:color w:val="5F5F5F"/>
                <w:sz w:val="16"/>
                <w:szCs w:val="16"/>
              </w:rPr>
              <w:t xml:space="preserve">(No sistemático · Prob. baja · Impacto alto)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comité de directores de tres miembros y revisión de operaciones con partes relacionadas (Ley 18.046). Aun así, solo 1 de 9 directores es independiente.</w:t>
            </w:r>
          </w:p>
          <w:p>
            <w:pPr>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Regulatorio y político. </w:t>
            </w:r>
            <w:r>
              <w:rPr>
                <w:rFonts w:ascii="Arial" w:cs="Arial" w:eastAsia="Arial" w:hAnsi="Arial"/>
                <w:color w:val="1A1A1A"/>
                <w:sz w:val="16"/>
                <w:szCs w:val="16"/>
              </w:rPr>
              <w:t xml:space="preserve">Los tres gobiernos asumieron en 2026 con agendas pro inversión, pero con distinto margen fiscal y legislativo (ver Contexto político-económico): en Chile la rebaja del impuesto corporativo ya es ley, en Perú el gobierno no tiene mayoría propia y en Colombia el ajuste fiscal y las tasas altas pesan sobre el consumo. Un retraso en permisos posterga ingresos del pipeline (USD 613 MM, 170.200 m² hasta 2028), con sensibilidad acotada. </w:t>
            </w:r>
            <w:r>
              <w:rPr>
                <w:rFonts w:ascii="Arial" w:cs="Arial" w:eastAsia="Arial" w:hAnsi="Arial"/>
                <w:i/>
                <w:iCs/>
                <w:color w:val="5F5F5F"/>
                <w:sz w:val="16"/>
                <w:szCs w:val="16"/>
              </w:rPr>
              <w:t xml:space="preserve">(Sistemático · Prob. media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la Ley 21.770 (sep-25) acorta los plazos de permisos y Colombia aporta solo ~11% de los ingresos. El modelo mantiene 27%: aplicar la rebaja a la porción Chile subiría el valor DCF ~5,4% (+3,9% el precio objetivo), aún lejos del precio de mercado.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23: </w:t>
            </w:r>
            <w:r>
              <w:rPr>
                <w:rFonts w:ascii="Arial" w:cs="Arial" w:eastAsia="Arial" w:hAnsi="Arial"/>
                <w:color w:val="14284B"/>
                <w:sz w:val="14"/>
                <w:szCs w:val="14"/>
              </w:rPr>
              <w:t xml:space="preserve">Matriz de riesgos</w:t>
            </w:r>
          </w:p>
          <w:p>
            <w:pPr>
              <w:spacing w:after="20" w:before="0"/>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9621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Color de fondo = severidad (probabilidad × impacto). Fuente: análisis del equipo.</w:t>
            </w:r>
          </w:p>
          <w:p>
            <w:pPr>
              <w:spacing w:after="30" w:before="100" w:line="228" w:lineRule="auto"/>
            </w:pPr>
            <w:r>
              <w:rPr>
                <w:rFonts w:ascii="Arial" w:cs="Arial" w:eastAsia="Arial" w:hAnsi="Arial"/>
                <w:b/>
                <w:bCs/>
                <w:color w:val="14284B"/>
                <w:sz w:val="14"/>
                <w:szCs w:val="14"/>
              </w:rPr>
              <w:t xml:space="preserve">Figura 24: </w:t>
            </w:r>
            <w:r>
              <w:rPr>
                <w:rFonts w:ascii="Arial" w:cs="Arial" w:eastAsia="Arial" w:hAnsi="Arial"/>
                <w:color w:val="14284B"/>
                <w:sz w:val="14"/>
                <w:szCs w:val="14"/>
              </w:rPr>
              <w:t xml:space="preserve">Tornado de riesgo operacional (CLP por acción)</w:t>
            </w:r>
          </w:p>
          <w:p>
            <w:pPr>
              <w:spacing w:after="20" w:before="0"/>
            </w:pPr>
            <w:r>
              <w:drawing>
                <wp:inline distT="0" distB="0" distL="0" distR="0">
                  <wp:extent cx="22574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21526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Límites = mínimo y máximo histórico de cada variable: releases de resultados de Mallplaza 4T23–2T26 (margen EBITDA, ocupación, rentas y ventas en mismas tiendas, visitas) y EEFF (capex de mantención 2024 y UDM 2T26; rango de crecimiento de la tasación, Nota 11). WACC terminal 10,41% y g 3,0% constantes. Fuente: Mallplaza; análisis del equipo.</w:t>
            </w:r>
          </w:p>
          <w:p>
            <w:pPr>
              <w:spacing w:after="30" w:before="100" w:line="228" w:lineRule="auto"/>
            </w:pPr>
            <w:r>
              <w:rPr>
                <w:rFonts w:ascii="Arial" w:cs="Arial" w:eastAsia="Arial" w:hAnsi="Arial"/>
                <w:b/>
                <w:bCs/>
                <w:color w:val="14284B"/>
                <w:sz w:val="14"/>
                <w:szCs w:val="14"/>
              </w:rPr>
              <w:t xml:space="preserve">Figura 25: </w:t>
            </w:r>
            <w:r>
              <w:rPr>
                <w:rFonts w:ascii="Arial" w:cs="Arial" w:eastAsia="Arial" w:hAnsi="Arial"/>
                <w:color w:val="14284B"/>
                <w:sz w:val="14"/>
                <w:szCs w:val="14"/>
              </w:rPr>
              <w:t xml:space="preserve">Sensibilidad del precio objetivo: WACC vs g (CLP)</w:t>
            </w:r>
          </w:p>
          <w:p>
            <w:pPr>
              <w:spacing w:after="20" w:before="0"/>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0020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Precio objetivo = 80% DCF + 20% múltiplos EV/EBITDA (CLP 2.951). La columna g = 2,0% usa la fórmula de la hoja Sensibilidad. Fuente: equipo.</w:t>
            </w:r>
          </w:p>
        </w:tc>
      </w:tr>
    </w:tbl>
    <w:p>
      <w:pPr>
        <w:pageBreakBefore/>
        <w:spacing w:after="0" w:before="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10"/>
            </w:pPr>
            <w:r>
              <w:rPr>
                <w:rFonts w:ascii="Arial" w:cs="Arial" w:eastAsia="Arial" w:hAnsi="Arial"/>
                <w:b/>
                <w:bCs/>
                <w:color w:val="14284B"/>
                <w:sz w:val="16"/>
                <w:szCs w:val="16"/>
              </w:rPr>
              <w:t xml:space="preserve">ANÁLISIS DE SENSIBILIDAD</w:t>
            </w:r>
          </w:p>
          <w:p>
            <w:pPr>
              <w:spacing w:after="40" w:before="0" w:line="228" w:lineRule="auto"/>
              <w:jc w:val="both"/>
            </w:pPr>
            <w:r>
              <w:rPr>
                <w:rFonts w:ascii="Arial" w:cs="Arial" w:eastAsia="Arial" w:hAnsi="Arial"/>
                <w:color w:val="1A1A1A"/>
                <w:sz w:val="16"/>
                <w:szCs w:val="16"/>
              </w:rPr>
              <w:t xml:space="preserve">El valor es más sensible a la tasa de descuento que a la operación en los escenarios evaluados: el peor caso operacional (margen EBITDA) resta 10,0% al valor DCF (Figura 24), mientras que +100 pb de WACC restan 17,2% (12,3% del precio objetivo, Figura 25). El precio actual implica un cap rate cercano a 6,0%, frente a 10,1% en el DCF: el mercado descuenta una tasa baja y la acción queda más expuesta a un alza de tasas. Un g mayor resta valor: RONIC 5,0% &lt; WACC real 7,2%. La UF casi no mueve el valor (+1,1% con UF +3%), porque las rentas indexadas compensan la deuda en UF. Hasta la mejor celda de la Figura 25 (CLP 2.487) queda bajo el precio (3.555): se mantiene la recomendación.</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26: </w:t>
            </w:r>
            <w:r>
              <w:rPr>
                <w:rFonts w:ascii="Arial" w:cs="Arial" w:eastAsia="Arial" w:hAnsi="Arial"/>
                <w:color w:val="14284B"/>
                <w:sz w:val="14"/>
                <w:szCs w:val="14"/>
              </w:rPr>
              <w:t xml:space="preserve">Sensibilidad del precio objetivo a un alza de la UF (CLP por acción)</w:t>
            </w:r>
          </w:p>
          <w:p>
            <w:pPr>
              <w:spacing w:after="20" w:before="0"/>
            </w:pPr>
            <w:r>
              <w:drawing>
                <wp:inline distT="0" distB="0" distL="0" distR="0">
                  <wp:extent cx="2257425"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37160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Alza de nivel de la UF desde 2027E, con WACC y g constantes. Rentas: IPC de Chile del modelo (80% del precio objetivo vía DCF); deuda: exposición neta en UF implícita en la Nota 26 (CLP 1,29 billones). Utilidad: +3% reportado, +1% y +2% por extrapolación lineal. Fuente: EEFF de Mallplaza a jun-26, Nota 26; análisis del equipo.</w:t>
            </w:r>
          </w:p>
        </w:tc>
      </w:tr>
    </w:tbl>
    <w:p>
      <w:pPr>
        <w:pBdr>
          <w:bottom w:val="single" w:color="E9004B" w:sz="8" w:space="1"/>
        </w:pBdr>
        <w:spacing w:after="50" w:before="110"/>
      </w:pPr>
      <w:r>
        <w:rPr>
          <w:rFonts w:ascii="Arial" w:cs="Arial" w:eastAsia="Arial" w:hAnsi="Arial"/>
          <w:b/>
          <w:bCs/>
          <w:color w:val="14284B"/>
          <w:sz w:val="16"/>
          <w:szCs w:val="16"/>
        </w:rPr>
        <w:t xml:space="preserve">CONTEXTO POLÍTICO-ECONÓMICO 2026</w:t>
      </w:r>
    </w:p>
    <w:tbl>
      <w:tblPr>
        <w:tblW w:type="dxa" w:w="10666"/>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250"/>
        <w:gridCol w:w="3416"/>
      </w:tblGrid>
      <w:tr>
        <w:trPr>
          <w:tblHeader/>
        </w:trPr>
        <w:tc>
          <w:tcPr>
            <w:tcW w:type="dxa" w:w="1300"/>
            <w:tcBorders>
              <w:top w:val="single" w:color="D5D9E0" w:sz="4"/>
              <w:left w:val="none" w:color="FFFFFF" w:sz="0"/>
              <w:bottom w:val="single" w:color="D5D9E0" w:sz="4"/>
              <w:right w:val="none" w:color="FFFFFF" w:sz="0"/>
            </w:tcBorders>
            <w:shd w:fill="14284B" w:color="auto" w:val="clear"/>
            <w:tcMar>
              <w:top w:type="dxa" w:w="40"/>
              <w:left w:type="dxa" w:w="70"/>
              <w:bottom w:type="dxa" w:w="40"/>
              <w:right w:type="dxa" w:w="70"/>
            </w:tcMar>
            <w:vAlign w:val="top"/>
          </w:tcPr>
          <w:p>
            <w:pPr>
              <w:spacing w:after="0" w:before="0" w:line="216" w:lineRule="auto"/>
              <w:jc w:val="left"/>
            </w:pPr>
            <w:r>
              <w:rPr>
                <w:rFonts w:ascii="Arial" w:cs="Arial" w:eastAsia="Arial" w:hAnsi="Arial"/>
                <w:b/>
                <w:bCs/>
                <w:color w:val="FFFFFF"/>
                <w:sz w:val="14"/>
                <w:szCs w:val="14"/>
              </w:rPr>
              <w:t xml:space="preserve">País</w:t>
            </w:r>
          </w:p>
        </w:tc>
        <w:tc>
          <w:tcPr>
            <w:tcW w:type="dxa" w:w="1700"/>
            <w:tcBorders>
              <w:top w:val="single" w:color="D5D9E0" w:sz="4"/>
              <w:left w:val="none" w:color="FFFFFF" w:sz="0"/>
              <w:bottom w:val="single" w:color="D5D9E0" w:sz="4"/>
              <w:right w:val="none" w:color="FFFFFF" w:sz="0"/>
            </w:tcBorders>
            <w:shd w:fill="14284B" w:color="auto" w:val="clear"/>
            <w:tcMar>
              <w:top w:type="dxa" w:w="40"/>
              <w:left w:type="dxa" w:w="70"/>
              <w:bottom w:type="dxa" w:w="40"/>
              <w:right w:type="dxa" w:w="70"/>
            </w:tcMar>
            <w:vAlign w:val="top"/>
          </w:tcPr>
          <w:p>
            <w:pPr>
              <w:spacing w:after="0" w:before="0" w:line="216" w:lineRule="auto"/>
              <w:jc w:val="left"/>
            </w:pPr>
            <w:r>
              <w:rPr>
                <w:rFonts w:ascii="Arial" w:cs="Arial" w:eastAsia="Arial" w:hAnsi="Arial"/>
                <w:b/>
                <w:bCs/>
                <w:color w:val="FFFFFF"/>
                <w:sz w:val="14"/>
                <w:szCs w:val="14"/>
              </w:rPr>
              <w:t xml:space="preserve">Gobierno</w:t>
            </w:r>
          </w:p>
        </w:tc>
        <w:tc>
          <w:tcPr>
            <w:tcW w:type="dxa" w:w="4250"/>
            <w:tcBorders>
              <w:top w:val="single" w:color="D5D9E0" w:sz="4"/>
              <w:left w:val="none" w:color="FFFFFF" w:sz="0"/>
              <w:bottom w:val="single" w:color="D5D9E0" w:sz="4"/>
              <w:right w:val="none" w:color="FFFFFF" w:sz="0"/>
            </w:tcBorders>
            <w:shd w:fill="14284B" w:color="auto" w:val="clear"/>
            <w:tcMar>
              <w:top w:type="dxa" w:w="40"/>
              <w:left w:type="dxa" w:w="70"/>
              <w:bottom w:type="dxa" w:w="40"/>
              <w:right w:type="dxa" w:w="70"/>
            </w:tcMar>
            <w:vAlign w:val="top"/>
          </w:tcPr>
          <w:p>
            <w:pPr>
              <w:spacing w:after="0" w:before="0" w:line="216" w:lineRule="auto"/>
              <w:jc w:val="left"/>
            </w:pPr>
            <w:r>
              <w:rPr>
                <w:rFonts w:ascii="Arial" w:cs="Arial" w:eastAsia="Arial" w:hAnsi="Arial"/>
                <w:b/>
                <w:bCs/>
                <w:color w:val="FFFFFF"/>
                <w:sz w:val="14"/>
                <w:szCs w:val="14"/>
              </w:rPr>
              <w:t xml:space="preserve">Medidas y señales</w:t>
            </w:r>
          </w:p>
        </w:tc>
        <w:tc>
          <w:tcPr>
            <w:tcW w:type="dxa" w:w="3416"/>
            <w:tcBorders>
              <w:top w:val="single" w:color="D5D9E0" w:sz="4"/>
              <w:left w:val="none" w:color="FFFFFF" w:sz="0"/>
              <w:bottom w:val="single" w:color="D5D9E0" w:sz="4"/>
              <w:right w:val="none" w:color="FFFFFF" w:sz="0"/>
            </w:tcBorders>
            <w:shd w:fill="14284B" w:color="auto" w:val="clear"/>
            <w:tcMar>
              <w:top w:type="dxa" w:w="40"/>
              <w:left w:type="dxa" w:w="70"/>
              <w:bottom w:type="dxa" w:w="40"/>
              <w:right w:type="dxa" w:w="70"/>
            </w:tcMar>
            <w:vAlign w:val="top"/>
          </w:tcPr>
          <w:p>
            <w:pPr>
              <w:spacing w:after="0" w:before="0" w:line="216" w:lineRule="auto"/>
              <w:jc w:val="left"/>
            </w:pPr>
            <w:r>
              <w:rPr>
                <w:rFonts w:ascii="Arial" w:cs="Arial" w:eastAsia="Arial" w:hAnsi="Arial"/>
                <w:b/>
                <w:bCs/>
                <w:color w:val="FFFFFF"/>
                <w:sz w:val="14"/>
                <w:szCs w:val="14"/>
              </w:rPr>
              <w:t xml:space="preserve">Implicancia para Mallplaza</w:t>
            </w:r>
          </w:p>
        </w:tc>
      </w:tr>
      <w:tr>
        <w:trPr>
          <w:cantSplit/>
        </w:trPr>
        <w:tc>
          <w:tcPr>
            <w:tcW w:type="dxa" w:w="1300"/>
            <w:tcBorders>
              <w:top w:val="single" w:color="D5D9E0" w:sz="4"/>
              <w:left w:val="none" w:color="FFFFFF" w:sz="0"/>
              <w:bottom w:val="single" w:color="D5D9E0" w:sz="4"/>
              <w:right w:val="none" w:color="FFFFFF" w:sz="0"/>
            </w:tcBorders>
            <w:tcMar>
              <w:top w:type="dxa" w:w="40"/>
              <w:left w:type="dxa" w:w="70"/>
              <w:bottom w:type="dxa" w:w="40"/>
              <w:right w:type="dxa" w:w="70"/>
            </w:tcMar>
            <w:vAlign w:val="top"/>
          </w:tcPr>
          <w:p>
            <w:pPr>
              <w:spacing w:after="0" w:before="0" w:line="216" w:lineRule="auto"/>
              <w:jc w:val="left"/>
            </w:pPr>
            <w:r>
              <w:rPr>
                <w:rFonts w:ascii="Arial" w:cs="Arial" w:eastAsia="Arial" w:hAnsi="Arial"/>
                <w:b/>
                <w:bCs/>
                <w:color w:val="1A1A1A"/>
                <w:sz w:val="14"/>
                <w:szCs w:val="14"/>
              </w:rPr>
              <w:t xml:space="preserve">Chile</w:t>
            </w:r>
          </w:p>
          <w:p>
            <w:pPr>
              <w:spacing w:after="0" w:before="0" w:line="216" w:lineRule="auto"/>
              <w:jc w:val="left"/>
            </w:pPr>
            <w:r>
              <w:rPr>
                <w:rFonts w:ascii="Arial" w:cs="Arial" w:eastAsia="Arial" w:hAnsi="Arial"/>
                <w:b w:val="false"/>
                <w:bCs w:val="false"/>
                <w:color w:val="5F5F5F"/>
                <w:sz w:val="13"/>
                <w:szCs w:val="13"/>
              </w:rPr>
              <w:t xml:space="preserve">~71% ingresos</w:t>
            </w:r>
          </w:p>
        </w:tc>
        <w:tc>
          <w:tcPr>
            <w:tcW w:type="dxa" w:w="1700"/>
            <w:tcBorders>
              <w:top w:val="single" w:color="D5D9E0" w:sz="4"/>
              <w:left w:val="none" w:color="FFFFFF" w:sz="0"/>
              <w:bottom w:val="single" w:color="D5D9E0" w:sz="4"/>
              <w:right w:val="none" w:color="FFFFFF" w:sz="0"/>
            </w:tcBorders>
            <w:tcMar>
              <w:top w:type="dxa" w:w="40"/>
              <w:left w:type="dxa" w:w="70"/>
              <w:bottom w:type="dxa" w:w="40"/>
              <w:right w:type="dxa" w:w="70"/>
            </w:tcMar>
            <w:vAlign w:val="top"/>
          </w:tcPr>
          <w:p>
            <w:pPr>
              <w:spacing w:after="0" w:before="0" w:line="216" w:lineRule="auto"/>
              <w:jc w:val="left"/>
            </w:pPr>
            <w:r>
              <w:rPr>
                <w:rFonts w:ascii="Arial" w:cs="Arial" w:eastAsia="Arial" w:hAnsi="Arial"/>
                <w:b/>
                <w:bCs/>
                <w:color w:val="1A1A1A"/>
                <w:sz w:val="14"/>
                <w:szCs w:val="14"/>
              </w:rPr>
              <w:t xml:space="preserve">José Antonio Kast</w:t>
            </w:r>
          </w:p>
          <w:p>
            <w:pPr>
              <w:spacing w:after="0" w:before="0" w:line="216" w:lineRule="auto"/>
              <w:jc w:val="left"/>
            </w:pPr>
            <w:r>
              <w:rPr>
                <w:rFonts w:ascii="Arial" w:cs="Arial" w:eastAsia="Arial" w:hAnsi="Arial"/>
                <w:b w:val="false"/>
                <w:bCs w:val="false"/>
                <w:color w:val="5F5F5F"/>
                <w:sz w:val="13"/>
                <w:szCs w:val="13"/>
              </w:rPr>
              <w:t xml:space="preserve">(desde mar-26)</w:t>
            </w:r>
          </w:p>
        </w:tc>
        <w:tc>
          <w:tcPr>
            <w:tcW w:type="dxa" w:w="4250"/>
            <w:tcBorders>
              <w:top w:val="single" w:color="D5D9E0" w:sz="4"/>
              <w:left w:val="none" w:color="FFFFFF" w:sz="0"/>
              <w:bottom w:val="single" w:color="D5D9E0" w:sz="4"/>
              <w:right w:val="none" w:color="FFFFFF" w:sz="0"/>
            </w:tcBorders>
            <w:tcMar>
              <w:top w:type="dxa" w:w="40"/>
              <w:left w:type="dxa" w:w="70"/>
              <w:bottom w:type="dxa" w:w="40"/>
              <w:right w:type="dxa" w:w="70"/>
            </w:tcMar>
            <w:vAlign w:val="top"/>
          </w:tcPr>
          <w:p>
            <w:pPr>
              <w:spacing w:after="0" w:before="0" w:line="216" w:lineRule="auto"/>
              <w:jc w:val="both"/>
            </w:pPr>
            <w:r>
              <w:rPr>
                <w:rFonts w:ascii="Arial" w:cs="Arial" w:eastAsia="Arial" w:hAnsi="Arial"/>
                <w:b w:val="false"/>
                <w:bCs w:val="false"/>
                <w:color w:val="1A1A1A"/>
                <w:sz w:val="14"/>
                <w:szCs w:val="14"/>
              </w:rPr>
              <w:t xml:space="preserve">Promulgó la Ley de Reconstrucción (9-oct-26): impuesto corporativo de 27% a 23% gradual desde 2027 e invariabilidad tributaria [1]. Presupuesto 2027 con gasto +2,7% vs la ley 2026 [2]. S&amp;P reafirmó A estable (sep-26) [3]. TPM 4,5% [4]. Senado estable, Cámara frágil [5].</w:t>
            </w:r>
          </w:p>
        </w:tc>
        <w:tc>
          <w:tcPr>
            <w:tcW w:type="dxa" w:w="3416"/>
            <w:tcBorders>
              <w:top w:val="single" w:color="D5D9E0" w:sz="4"/>
              <w:left w:val="none" w:color="FFFFFF" w:sz="0"/>
              <w:bottom w:val="single" w:color="D5D9E0" w:sz="4"/>
              <w:right w:val="none" w:color="FFFFFF" w:sz="0"/>
            </w:tcBorders>
            <w:tcMar>
              <w:top w:type="dxa" w:w="40"/>
              <w:left w:type="dxa" w:w="70"/>
              <w:bottom w:type="dxa" w:w="40"/>
              <w:right w:type="dxa" w:w="70"/>
            </w:tcMar>
            <w:vAlign w:val="top"/>
          </w:tcPr>
          <w:p>
            <w:pPr>
              <w:spacing w:after="0" w:before="0" w:line="216" w:lineRule="auto"/>
              <w:jc w:val="both"/>
            </w:pPr>
            <w:r>
              <w:rPr>
                <w:rFonts w:ascii="Arial" w:cs="Arial" w:eastAsia="Arial" w:hAnsi="Arial"/>
                <w:b w:val="false"/>
                <w:bCs w:val="false"/>
                <w:color w:val="1A1A1A"/>
                <w:sz w:val="14"/>
                <w:szCs w:val="14"/>
              </w:rPr>
              <w:t xml:space="preserve">Positivo: menor impuesto (+3,9% al precio objetivo si se aplica, no incluido) y permisos más rápidos (Ley 21.770). Riesgo: aprobar el resto de la agenda depende de una Cámara sin mayoría holgada.</w:t>
            </w:r>
          </w:p>
        </w:tc>
      </w:tr>
      <w:tr>
        <w:trPr>
          <w:cantSplit/>
        </w:trPr>
        <w:tc>
          <w:tcPr>
            <w:tcW w:type="dxa" w:w="1300"/>
            <w:tcBorders>
              <w:top w:val="single" w:color="D5D9E0" w:sz="4"/>
              <w:left w:val="none" w:color="FFFFFF" w:sz="0"/>
              <w:bottom w:val="single" w:color="D5D9E0" w:sz="4"/>
              <w:right w:val="none" w:color="FFFFFF" w:sz="0"/>
            </w:tcBorders>
            <w:shd w:fill="EEF1F6" w:color="auto" w:val="clear"/>
            <w:tcMar>
              <w:top w:type="dxa" w:w="40"/>
              <w:left w:type="dxa" w:w="70"/>
              <w:bottom w:type="dxa" w:w="40"/>
              <w:right w:type="dxa" w:w="70"/>
            </w:tcMar>
            <w:vAlign w:val="top"/>
          </w:tcPr>
          <w:p>
            <w:pPr>
              <w:spacing w:after="0" w:before="0" w:line="216" w:lineRule="auto"/>
              <w:jc w:val="left"/>
            </w:pPr>
            <w:r>
              <w:rPr>
                <w:rFonts w:ascii="Arial" w:cs="Arial" w:eastAsia="Arial" w:hAnsi="Arial"/>
                <w:b/>
                <w:bCs/>
                <w:color w:val="1A1A1A"/>
                <w:sz w:val="14"/>
                <w:szCs w:val="14"/>
              </w:rPr>
              <w:t xml:space="preserve">Perú</w:t>
            </w:r>
          </w:p>
          <w:p>
            <w:pPr>
              <w:spacing w:after="0" w:before="0" w:line="216" w:lineRule="auto"/>
              <w:jc w:val="left"/>
            </w:pPr>
            <w:r>
              <w:rPr>
                <w:rFonts w:ascii="Arial" w:cs="Arial" w:eastAsia="Arial" w:hAnsi="Arial"/>
                <w:b w:val="false"/>
                <w:bCs w:val="false"/>
                <w:color w:val="5F5F5F"/>
                <w:sz w:val="13"/>
                <w:szCs w:val="13"/>
              </w:rPr>
              <w:t xml:space="preserve">~19% ingresos</w:t>
            </w:r>
          </w:p>
        </w:tc>
        <w:tc>
          <w:tcPr>
            <w:tcW w:type="dxa" w:w="1700"/>
            <w:tcBorders>
              <w:top w:val="single" w:color="D5D9E0" w:sz="4"/>
              <w:left w:val="none" w:color="FFFFFF" w:sz="0"/>
              <w:bottom w:val="single" w:color="D5D9E0" w:sz="4"/>
              <w:right w:val="none" w:color="FFFFFF" w:sz="0"/>
            </w:tcBorders>
            <w:shd w:fill="EEF1F6" w:color="auto" w:val="clear"/>
            <w:tcMar>
              <w:top w:type="dxa" w:w="40"/>
              <w:left w:type="dxa" w:w="70"/>
              <w:bottom w:type="dxa" w:w="40"/>
              <w:right w:type="dxa" w:w="70"/>
            </w:tcMar>
            <w:vAlign w:val="top"/>
          </w:tcPr>
          <w:p>
            <w:pPr>
              <w:spacing w:after="0" w:before="0" w:line="216" w:lineRule="auto"/>
              <w:jc w:val="left"/>
            </w:pPr>
            <w:r>
              <w:rPr>
                <w:rFonts w:ascii="Arial" w:cs="Arial" w:eastAsia="Arial" w:hAnsi="Arial"/>
                <w:b/>
                <w:bCs/>
                <w:color w:val="1A1A1A"/>
                <w:sz w:val="14"/>
                <w:szCs w:val="14"/>
              </w:rPr>
              <w:t xml:space="preserve">Keiko Fujimori</w:t>
            </w:r>
          </w:p>
          <w:p>
            <w:pPr>
              <w:spacing w:after="0" w:before="0" w:line="216" w:lineRule="auto"/>
              <w:jc w:val="left"/>
            </w:pPr>
            <w:r>
              <w:rPr>
                <w:rFonts w:ascii="Arial" w:cs="Arial" w:eastAsia="Arial" w:hAnsi="Arial"/>
                <w:b w:val="false"/>
                <w:bCs w:val="false"/>
                <w:color w:val="5F5F5F"/>
                <w:sz w:val="13"/>
                <w:szCs w:val="13"/>
              </w:rPr>
              <w:t xml:space="preserve">(desde 28-jul-26)</w:t>
            </w:r>
          </w:p>
        </w:tc>
        <w:tc>
          <w:tcPr>
            <w:tcW w:type="dxa" w:w="4250"/>
            <w:tcBorders>
              <w:top w:val="single" w:color="D5D9E0" w:sz="4"/>
              <w:left w:val="none" w:color="FFFFFF" w:sz="0"/>
              <w:bottom w:val="single" w:color="D5D9E0" w:sz="4"/>
              <w:right w:val="none" w:color="FFFFFF" w:sz="0"/>
            </w:tcBorders>
            <w:shd w:fill="EEF1F6" w:color="auto" w:val="clear"/>
            <w:tcMar>
              <w:top w:type="dxa" w:w="40"/>
              <w:left w:type="dxa" w:w="70"/>
              <w:bottom w:type="dxa" w:w="40"/>
              <w:right w:type="dxa" w:w="70"/>
            </w:tcMar>
            <w:vAlign w:val="top"/>
          </w:tcPr>
          <w:p>
            <w:pPr>
              <w:spacing w:after="0" w:before="0" w:line="216" w:lineRule="auto"/>
              <w:jc w:val="both"/>
            </w:pPr>
            <w:r>
              <w:rPr>
                <w:rFonts w:ascii="Arial" w:cs="Arial" w:eastAsia="Arial" w:hAnsi="Arial"/>
                <w:b w:val="false"/>
                <w:bCs w:val="false"/>
                <w:color w:val="1A1A1A"/>
                <w:sz w:val="14"/>
                <w:szCs w:val="14"/>
              </w:rPr>
              <w:t xml:space="preserve">Salario mínimo de S/ 1.130 a 1.300 y Pensión 65 duplicada (S/ 350 a 700) [6]. Presupuesto 2027 de S/ 266.506 MM, coherente con déficit de 1,4% del PIB [7]. BCRP mantiene 4,25% [8]. Fuerza Popular sin mayoría en el Congreso bicameral [9].</w:t>
            </w:r>
          </w:p>
        </w:tc>
        <w:tc>
          <w:tcPr>
            <w:tcW w:type="dxa" w:w="3416"/>
            <w:tcBorders>
              <w:top w:val="single" w:color="D5D9E0" w:sz="4"/>
              <w:left w:val="none" w:color="FFFFFF" w:sz="0"/>
              <w:bottom w:val="single" w:color="D5D9E0" w:sz="4"/>
              <w:right w:val="none" w:color="FFFFFF" w:sz="0"/>
            </w:tcBorders>
            <w:shd w:fill="EEF1F6" w:color="auto" w:val="clear"/>
            <w:tcMar>
              <w:top w:type="dxa" w:w="40"/>
              <w:left w:type="dxa" w:w="70"/>
              <w:bottom w:type="dxa" w:w="40"/>
              <w:right w:type="dxa" w:w="70"/>
            </w:tcMar>
            <w:vAlign w:val="top"/>
          </w:tcPr>
          <w:p>
            <w:pPr>
              <w:spacing w:after="0" w:before="0" w:line="216" w:lineRule="auto"/>
              <w:jc w:val="both"/>
            </w:pPr>
            <w:r>
              <w:rPr>
                <w:rFonts w:ascii="Arial" w:cs="Arial" w:eastAsia="Arial" w:hAnsi="Arial"/>
                <w:b w:val="false"/>
                <w:bCs w:val="false"/>
                <w:color w:val="1A1A1A"/>
                <w:sz w:val="14"/>
                <w:szCs w:val="14"/>
              </w:rPr>
              <w:t xml:space="preserve">Positivo para el consumo y las ventas de locatarios. Riesgo: gobernabilidad y costo fiscal de leyes del Congreso anterior (hasta S/ 50.000 MM según el MEF) [7].</w:t>
            </w:r>
          </w:p>
        </w:tc>
      </w:tr>
      <w:tr>
        <w:trPr>
          <w:cantSplit/>
        </w:trPr>
        <w:tc>
          <w:tcPr>
            <w:tcW w:type="dxa" w:w="1300"/>
            <w:tcBorders>
              <w:top w:val="single" w:color="D5D9E0" w:sz="4"/>
              <w:left w:val="none" w:color="FFFFFF" w:sz="0"/>
              <w:bottom w:val="single" w:color="D5D9E0" w:sz="4"/>
              <w:right w:val="none" w:color="FFFFFF" w:sz="0"/>
            </w:tcBorders>
            <w:tcMar>
              <w:top w:type="dxa" w:w="40"/>
              <w:left w:type="dxa" w:w="70"/>
              <w:bottom w:type="dxa" w:w="40"/>
              <w:right w:type="dxa" w:w="70"/>
            </w:tcMar>
            <w:vAlign w:val="top"/>
          </w:tcPr>
          <w:p>
            <w:pPr>
              <w:spacing w:after="0" w:before="0" w:line="216" w:lineRule="auto"/>
              <w:jc w:val="left"/>
            </w:pPr>
            <w:r>
              <w:rPr>
                <w:rFonts w:ascii="Arial" w:cs="Arial" w:eastAsia="Arial" w:hAnsi="Arial"/>
                <w:b/>
                <w:bCs/>
                <w:color w:val="1A1A1A"/>
                <w:sz w:val="14"/>
                <w:szCs w:val="14"/>
              </w:rPr>
              <w:t xml:space="preserve">Colombia</w:t>
            </w:r>
          </w:p>
          <w:p>
            <w:pPr>
              <w:spacing w:after="0" w:before="0" w:line="216" w:lineRule="auto"/>
              <w:jc w:val="left"/>
            </w:pPr>
            <w:r>
              <w:rPr>
                <w:rFonts w:ascii="Arial" w:cs="Arial" w:eastAsia="Arial" w:hAnsi="Arial"/>
                <w:b w:val="false"/>
                <w:bCs w:val="false"/>
                <w:color w:val="5F5F5F"/>
                <w:sz w:val="13"/>
                <w:szCs w:val="13"/>
              </w:rPr>
              <w:t xml:space="preserve">~11% ingresos</w:t>
            </w:r>
          </w:p>
        </w:tc>
        <w:tc>
          <w:tcPr>
            <w:tcW w:type="dxa" w:w="1700"/>
            <w:tcBorders>
              <w:top w:val="single" w:color="D5D9E0" w:sz="4"/>
              <w:left w:val="none" w:color="FFFFFF" w:sz="0"/>
              <w:bottom w:val="single" w:color="D5D9E0" w:sz="4"/>
              <w:right w:val="none" w:color="FFFFFF" w:sz="0"/>
            </w:tcBorders>
            <w:tcMar>
              <w:top w:type="dxa" w:w="40"/>
              <w:left w:type="dxa" w:w="70"/>
              <w:bottom w:type="dxa" w:w="40"/>
              <w:right w:type="dxa" w:w="70"/>
            </w:tcMar>
            <w:vAlign w:val="top"/>
          </w:tcPr>
          <w:p>
            <w:pPr>
              <w:spacing w:after="0" w:before="0" w:line="216" w:lineRule="auto"/>
              <w:jc w:val="left"/>
            </w:pPr>
            <w:r>
              <w:rPr>
                <w:rFonts w:ascii="Arial" w:cs="Arial" w:eastAsia="Arial" w:hAnsi="Arial"/>
                <w:b/>
                <w:bCs/>
                <w:color w:val="1A1A1A"/>
                <w:sz w:val="14"/>
                <w:szCs w:val="14"/>
              </w:rPr>
              <w:t xml:space="preserve">Abelardo de la Espriella</w:t>
            </w:r>
          </w:p>
          <w:p>
            <w:pPr>
              <w:spacing w:after="0" w:before="0" w:line="216" w:lineRule="auto"/>
              <w:jc w:val="left"/>
            </w:pPr>
            <w:r>
              <w:rPr>
                <w:rFonts w:ascii="Arial" w:cs="Arial" w:eastAsia="Arial" w:hAnsi="Arial"/>
                <w:b w:val="false"/>
                <w:bCs w:val="false"/>
                <w:color w:val="5F5F5F"/>
                <w:sz w:val="13"/>
                <w:szCs w:val="13"/>
              </w:rPr>
              <w:t xml:space="preserve">(desde 7-ago-26)</w:t>
            </w:r>
          </w:p>
        </w:tc>
        <w:tc>
          <w:tcPr>
            <w:tcW w:type="dxa" w:w="4250"/>
            <w:tcBorders>
              <w:top w:val="single" w:color="D5D9E0" w:sz="4"/>
              <w:left w:val="none" w:color="FFFFFF" w:sz="0"/>
              <w:bottom w:val="single" w:color="D5D9E0" w:sz="4"/>
              <w:right w:val="none" w:color="FFFFFF" w:sz="0"/>
            </w:tcBorders>
            <w:tcMar>
              <w:top w:type="dxa" w:w="40"/>
              <w:left w:type="dxa" w:w="70"/>
              <w:bottom w:type="dxa" w:w="40"/>
              <w:right w:type="dxa" w:w="70"/>
            </w:tcMar>
            <w:vAlign w:val="top"/>
          </w:tcPr>
          <w:p>
            <w:pPr>
              <w:spacing w:after="0" w:before="0" w:line="216" w:lineRule="auto"/>
              <w:jc w:val="both"/>
            </w:pPr>
            <w:r>
              <w:rPr>
                <w:rFonts w:ascii="Arial" w:cs="Arial" w:eastAsia="Arial" w:hAnsi="Arial"/>
                <w:b w:val="false"/>
                <w:bCs w:val="false"/>
                <w:color w:val="1A1A1A"/>
                <w:sz w:val="14"/>
                <w:szCs w:val="14"/>
              </w:rPr>
              <w:t xml:space="preserve">Hacienda estima un déficit de 7,8% del PIB y propone recortar el gasto en al menos 1% del PIB [10]; reforma tributaria para bajar la carga a las empresas [11]. El Banco de la República subió su tasa a 12,25% (30-sep-26) [12]. S&amp;P BB- estable [13].</w:t>
            </w:r>
          </w:p>
        </w:tc>
        <w:tc>
          <w:tcPr>
            <w:tcW w:type="dxa" w:w="3416"/>
            <w:tcBorders>
              <w:top w:val="single" w:color="D5D9E0" w:sz="4"/>
              <w:left w:val="none" w:color="FFFFFF" w:sz="0"/>
              <w:bottom w:val="single" w:color="D5D9E0" w:sz="4"/>
              <w:right w:val="none" w:color="FFFFFF" w:sz="0"/>
            </w:tcBorders>
            <w:tcMar>
              <w:top w:type="dxa" w:w="40"/>
              <w:left w:type="dxa" w:w="70"/>
              <w:bottom w:type="dxa" w:w="40"/>
              <w:right w:type="dxa" w:w="70"/>
            </w:tcMar>
            <w:vAlign w:val="top"/>
          </w:tcPr>
          <w:p>
            <w:pPr>
              <w:spacing w:after="0" w:before="0" w:line="216" w:lineRule="auto"/>
              <w:jc w:val="both"/>
            </w:pPr>
            <w:r>
              <w:rPr>
                <w:rFonts w:ascii="Arial" w:cs="Arial" w:eastAsia="Arial" w:hAnsi="Arial"/>
                <w:b w:val="false"/>
                <w:bCs w:val="false"/>
                <w:color w:val="1A1A1A"/>
                <w:sz w:val="14"/>
                <w:szCs w:val="14"/>
              </w:rPr>
              <w:t xml:space="preserve">Negativo de corto plazo: ajuste fiscal y tasas altas frenan el consumo y presionan el COP (MR3). Peso acotado en el valor.</w:t>
            </w:r>
          </w:p>
        </w:tc>
      </w:tr>
    </w:tbl>
    <w:p>
      <w:pPr>
        <w:spacing w:after="0" w:before="50" w:line="216" w:lineRule="auto"/>
        <w:jc w:val="both"/>
      </w:pPr>
      <w:r>
        <w:rPr>
          <w:rFonts w:ascii="Arial" w:cs="Arial" w:eastAsia="Arial" w:hAnsi="Arial"/>
          <w:color w:val="5F5F5F"/>
          <w:sz w:val="11"/>
          <w:szCs w:val="11"/>
        </w:rPr>
        <w:t xml:space="preserve">[1] Emol, 9-oct-26, “Ley de Reconstrucción promulgada”; CNN Chile, oct-26. [2] Diario Financiero / El Mostrador, 3-oct-26. [3] Ministerio de Hacienda, informe sobre Fitch y S&amp;P, sep-26. [4] Banco Central de Chile, RPM oct-26. [5] El Dínamo, 11-mar-26. [6] Infobae / La República (Perú), 28-jul-26. [7] Infobae, 29-ago-26; El Comercio (MEF). [8] Infobae, 11-sep-26. [9] América TV, 2026. [10] El Tiempo / La Silla Vacía, jul-26. [11] Valora Analitik / El Colombiano, 2026. [12] Banco de la República, comunicado 30-sep-26. [13] IRC – MinHacienda Colombia. Participación en ingresos 2026E: modelo del equipo. Fuente: análisis del equipo.</w:t>
      </w:r>
    </w:p>
    <w:sectPr>
      <w:headerReference w:type="default" r:id="rId7"/>
      <w:footerReference w:type="default" r:id="rId8"/>
      <w:pgSz w:w="11906" w:h="16838" w:orient="portrait"/>
      <w:pgMar w:top="1000" w:right="620" w:bottom="900" w:left="620" w:header="450" w:footer="400" w:gutter="0"/>
      <w:pgNumType w:start="9"/>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15eb22e3f92f35577e55a983494bb533d758fb1.png"/><Relationship Id="rId10" Type="http://schemas.openxmlformats.org/officeDocument/2006/relationships/image" Target="media/33340e1a43ef1c6250facb750bae9a0d231c737d.png"/><Relationship Id="rId11" Type="http://schemas.openxmlformats.org/officeDocument/2006/relationships/image" Target="media/3b195aedeb9b0aceb09bd011239b02ffe7beb462.png"/><Relationship Id="rId12" Type="http://schemas.openxmlformats.org/officeDocument/2006/relationships/image" Target="media/8131a3a152249053001d15756dba7064c08b2d9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2026-10-12T22:59:35.679Z</dcterms:created>
  <dcterms:modified xsi:type="dcterms:W3CDTF">2026-10-12T22:59:35.680Z</dcterms:modified>
</cp:coreProperties>
</file>

<file path=docProps/custom.xml><?xml version="1.0" encoding="utf-8"?>
<Properties xmlns="http://schemas.openxmlformats.org/officeDocument/2006/custom-properties" xmlns:vt="http://schemas.openxmlformats.org/officeDocument/2006/docPropsVTypes"/>
</file>