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50"/>
        <w:gridCol w:w="250"/>
        <w:gridCol w:w="4700"/>
      </w:tblGrid>
      <w:tr>
        <w:tc>
          <w:tcPr>
            <w:tcW w:type="dxa" w:w="6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60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700"/>
              <w:gridCol w:w="3350"/>
            </w:tblGrid>
            <w:tr>
              <w:tc>
                <w:tcPr>
                  <w:tcW w:type="dxa" w:w="2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2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Figure 1: </w:t>
                  </w:r>
                  <w:r>
                    <w:rPr>
                      <w:rFonts w:ascii="Arial" w:cs="Arial" w:eastAsia="Arial" w:hAnsi="Arial"/>
                      <w:color w:val="14284B"/>
                      <w:sz w:val="14"/>
                      <w:szCs w:val="14"/>
                    </w:rPr>
                    <w:t xml:space="preserve">Risk matrix</w:t>
                  </w:r>
                </w:p>
                <w:p>
                  <w:pPr>
                    <w:spacing w:after="0"/>
                    <w:jc w:val="center"/>
                  </w:pPr>
                  <w:r>
                    <w:drawing>
                      <wp:inline distT="0" distB="0" distL="0" distR="0">
                        <wp:extent cx="1714500" cy="1928813"/>
                        <wp:effectExtent t="0" r="0" b="0" l="0"/>
                        <wp:docPr id="1" name="matriz_riesgo.png" descr="matriz_riesgo.png" title="matriz_riesg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14500" cy="19288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</w:tcPr>
                <w:p>
                  <w:pPr>
                    <w:spacing w:after="40" w:before="6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6"/>
                      <w:szCs w:val="16"/>
                    </w:rPr>
                    <w:t xml:space="preserve">Risk assessment</w:t>
                  </w:r>
                </w:p>
                <w:p>
                  <w:pPr>
                    <w:spacing w:after="40" w:before="0" w:line="228"/>
                    <w:jc w:val="lef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6"/>
                        <w:szCs w:val="16"/>
                      </w:rPr>
                      <w:id w:val="1001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6"/>
                          <w:szCs w:val="16"/>
                        </w:rPr>
                        <w:t xml:space="preserve">[Explain how likelihood and impact were scored (1–5) and which risks fall in the high-risk zone.]</w:t>
                      </w:r>
                    </w:sdtContent>
                  </w:sdt>
                </w:p>
                <w:p>
                  <w:pPr>
                    <w:spacing w:after="40" w:before="0" w:line="228"/>
                    <w:jc w:val="left"/>
                  </w:pPr>
                  <w:sdt>
                    <w:sdtPr>
                      <w:rPr>
                        <w:rFonts w:ascii="Arial" w:hAnsi="Arial" w:cs="Arial"/>
                        <w:color w:val="1A1A1A"/>
                        <w:sz w:val="16"/>
                        <w:szCs w:val="16"/>
                      </w:rPr>
                      <w:id w:val="1002"/>
                      <w:showingPlcHdr/>
                    </w:sdtPr>
                    <w:sdtContent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6"/>
                          <w:szCs w:val="16"/>
                        </w:rPr>
                        <w:t xml:space="preserve">[Key takeaway: the risk that matters most for the investment thesis and the recommendation.]</w:t>
                      </w:r>
                    </w:sdtContent>
                  </w:sdt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30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transactions]</w:t>
                </w:r>
              </w:sdtContent>
            </w:sdt>
          </w:p>
          <w:p>
            <w:pPr>
              <w:spacing w:after="1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3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(value per share, CLP)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984500" cy="1865313"/>
                  <wp:effectExtent t="0" r="0" b="0" l="0"/>
                  <wp:docPr id="1" name="tornado_operacional.png" descr="tornado_operacional.png" title="tornado_operacion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500" cy="1865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984500" cy="1865313"/>
                  <wp:effectExtent t="0" r="0" b="0" l="0"/>
                  <wp:docPr id="1" name="heatmap_sensibilidad_wacc.png" descr="heatmap_sensibilidad_wacc.png" title="heatmap_sensibilidad_wac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500" cy="1865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984500" cy="1678781"/>
                  <wp:effectExtent t="0" r="0" b="0" l="0"/>
                  <wp:docPr id="1" name="reajuste_uf.png" descr="reajuste_uf.png" title="reajuste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500" cy="1678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and the downside versus the base case.]</w:t>
                </w:r>
              </w:sdtContent>
            </w:sdt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[Conclusion: whether the recommendation holds under the downside scenarios.]</w:t>
                </w:r>
              </w:sdtContent>
            </w:sdt>
          </w:p>
        </w:tc>
      </w:tr>
    </w:tbl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29a777a3090c0f398bce511e6bb454fdd6b4a21.png"/><Relationship Id="rId8" Type="http://schemas.openxmlformats.org/officeDocument/2006/relationships/image" Target="media/57c698a3fe77d1f2b65835adad1f2a343c4a86c7.png"/><Relationship Id="rId9" Type="http://schemas.openxmlformats.org/officeDocument/2006/relationships/image" Target="media/cbf8318120a8be63346d3ff01aceb165002f8da6.png"/><Relationship Id="rId10" Type="http://schemas.openxmlformats.org/officeDocument/2006/relationships/image" Target="media/55f314e4f57c25ed914704aecefc209ffcee91c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2026-10-06T20:46:55.350Z</dcterms:created>
  <dcterms:modified xsi:type="dcterms:W3CDTF">2026-10-06T20:46:55.350Z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