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tbl>
      <w:tblPr>
        <w:tblpPr w:leftFromText="0" w:rightFromText="0" w:topFromText="0" w:bottomFromText="0" w:tblpX="7956" w:tblpY="13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295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competition in Chile (Figure 7), but this is offset by the company's “green” profile at the local level, since it ranks among the leading REM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the benefits of its own operations, the implementation of an energy management system (EnMS) certified under ISO 50001 translates into better energy performance and therefore lower operating costs. The opportunities to access local external benefits are tied to the company's ESG image: in Chile, under the R&amp;D Law (CORFO), PLAZA can obtain up to a 55% reduction in first-category tax; Peru recognizes the company with 2 out of 4 stars in “Huella de Carbono Perú”, which strengthens its image and makes it easier to obtain permits and licenses in the country; and Colombia has Law 2099 of 2021, which allows income-tax deductions for investments in environmental control, conservation and improvement. In addition, the company holds certifications and recognitions that support its ESG image and has joined indices such as DJSI MILA (Figure 7). Figure 12 estimates (as a scenario, not as data) that operating ESG savings add about CLP 2 per share and that a 25 bp cut in the cost of debt and equity would add CLP 71, against the CLP 1,406 that separate the target price from the share price.</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tbl>
      <w:tblPr>
        <w:tblpPr w:leftFromText="0" w:rightFromText="0" w:topFromText="0" w:bottomFromText="0" w:tblpX="7956" w:tblpY="254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ESG savings and lower cost of capital versus the share price (scenario).</w:t>
            </w:r>
          </w:p>
          <w:p>
            <w:pPr>
              <w:keepNext w:val="false"/>
              <w:spacing w:after="20" w:before="0" w:line="240" w:lineRule="auto"/>
              <w:jc w:val="center"/>
            </w:pPr>
            <w:r>
              <w:drawing>
                <wp:inline distT="0" distB="0" distL="0" distR="0">
                  <wp:extent cx="10572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572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v3, ESG_Ahorros sheet;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which translates into cost savings in its operations. To this end, it has set three strategic focus areas on ESG parameters: energy and water efficiency, carbon footprint, and waste management. PLAZA's main objective is to achieve carbon neutrality, targeting Net Zero in direct and indirect emissions by 2035 (65.6% success rate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success rate in 2025; Figure 8). The electricity efficiency target is for 100% to come from renewable energy by 2026 (89.3% success rate). In 2025, the annual ratio was 0.16 MWh/m² (Energy/GLA), of which 0.14 was renewable and 0.014 non-renewable (Figure 9).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(average)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success rate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the waste generated in 2025 (94.8% success rate;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an environmental due diligence on asset acquisitions, under an environmental compliance program aligned with ISO 14001 and monitored by the sustainability committee.</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(Appendix 8, Figure 8.3),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materiality assessments and organizational culture surveys (Appendix 8, section 5), and remains alert to any social incident through its integrity hotline. It is also recognized by CADEM at 31st out of 385 in “Marcas Ciudadanas” (“Citizen Brands”), winning the “Shopping Centers” category (2026). Regarding employees, they receive training and even have access to specific programs for those nearing retirement;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tbl>
      <w:tblPr>
        <w:tblpPr w:leftFromText="0" w:rightFromText="0" w:topFromText="0" w:bottomFromText="0" w:tblpX="7956" w:tblpY="-215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tbl>
      <w:tblPr>
        <w:tblpPr w:leftFromText="0" w:rightFromText="0" w:topFromText="0" w:bottomFromText="0" w:tblpX="7956" w:tblpY="26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 point in the company's favor in terms of workforce balance, but there is a gender pay gap averaging 28% at the regional level, which undermines that balance; in addition, there is only one woman on the Board, out of 9 directors. The target for 2028 is for 60% of the properties to be certified as inclusive spaces, and PLAZA obtained the “Sello Mayor” (“Senior Seal”) at one of its urban centers, the first in Chile to obtain it, a distinction that certifies physical and operational adaptation for older adults. These certifications matter to the community, and as PLAZA expands it is important that it builds to the parameters the certification requires, avoiding additional costs of retrofitting those facilities in the future, and begins the transition of its existing centers to these conditions.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10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The Board is composed of 9 members, only one of whom is classified as independent, below 50%, which creates agency risks (Figure 11 and Appendix 8, Figure 8.2) and is the only unfavorable factor in the ESG risk matrix (Appendix 8, Figure 8.5). This body is responsible for defining PLAZA's objectives, strategies and policies, while the directors' committee (composed of 3 members) reviews the balance sheets and financial statements, seeking to mitigate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Executive compensation:</w:t>
      </w:r>
      <w:r>
        <w:rPr>
          <w:rFonts w:ascii="Arial" w:cs="Arial" w:eastAsia="Arial" w:hAnsi="Arial"/>
          <w:i w:val="false"/>
          <w:iCs w:val="false"/>
          <w:color w:val="1A1A1A"/>
          <w:sz w:val="16"/>
          <w:szCs w:val="16"/>
        </w:rPr>
        <w:t xml:space="preserve"> 33.3% of executives' variable pay depends on ESG KPIs, and in total 61% is tied to non-financial metrics (Figure 11), which aligns management's incentives with PLAZA's ESG goals.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(53.10%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in 2025 the company reported regional non-compliance cases and complaints related to workers and customers, but none concerning corruption or conduct that undermines market development (Appendix 8, section 3).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13).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14),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15).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tbl>
      <w:tblPr>
        <w:tblpPr w:leftFromText="0" w:rightFromText="0" w:topFromText="0" w:bottomFromText="0" w:tblpX="7956" w:tblpY="53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tbl>
      <w:tblPr>
        <w:tblpPr w:leftFromText="0" w:rightFromText="0" w:topFromText="0" w:bottomFromText="0" w:tblpX="7956" w:tblpY="6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19).</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17).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18); refinancing series S (1.32% effective) at the latest issue's 4.33% would add about CLP 4.9bn a year. Liquidity is ample: at June 2026 the current ratio was 2.50x and cash covered current liabilities 1.71x.</w:t>
      </w:r>
    </w:p>
    <w:tbl>
      <w:tblPr>
        <w:tblpPr w:leftFromText="0" w:rightFromText="0" w:topFromText="0" w:bottomFromText="0" w:tblpX="7956" w:tblpY="-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tbl>
      <w:tblPr>
        <w:tblpPr w:leftFromText="0" w:rightFromText="0" w:topFromText="0" w:bottomFromText="0" w:tblpX="7956" w:tblpY="92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19);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tbl>
      <w:tblPr>
        <w:tblpPr w:leftFromText="0" w:rightFromText="0" w:topFromText="0" w:bottomFromText="0" w:tblpX="7956" w:tblpY="-5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(nominal), and the most favourable multiples fall short too (Figure 20).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tbl>
      <w:tblPr>
        <w:tblpPr w:leftFromText="0" w:rightFromText="0" w:topFromText="0" w:bottomFromText="0" w:tblpX="7956" w:tblpY="4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Figure 20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tbl>
      <w:tblPr>
        <w:tblpPr w:leftFromText="0" w:rightFromText="0" w:topFromText="0" w:bottomFromText="0" w:tblpX="7956" w:tblpY="99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At CLP 3,555 the firm yields almost the same as its debt</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nominal Ke (8.67% real; Rf 4.98%, relevered beta of 1.14 from a six-peer median of 0.94, ERP 4.14% and a 1.41% revenue-weighted CRP) and a 5.11% nominal after-tax Kd based on the 3.6% real (UF) coupon of the latest bond (Appendix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and are nominal: the US Treasury Rf, the implied equity risk premium published by Damodaran and country risk, which we weight by revenue. We then convert it to pesos with the gap between expected inflation in Chile (3.0%, the central bank's target) and in the US (2.24%, 10-year breakeven). The beta is unlevered with Hamada (six regional peers) and relevered each period (1.09 in 2H26E,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first signal is the asset IRR, what the business earns for whoever buys it at CLP 3,555 if our cash flows come true: 7.57% nominal (4.44% real in UF), 284 bp below its WACC and just ~80 bp real above its real cost of debt (Figure 21).</w:t>
      </w:r>
    </w:p>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tbl>
      <w:tblPr>
        <w:tblpPr w:leftFromText="0" w:rightFromText="0" w:topFromText="0" w:bottomFromText="0" w:tblpX="7956" w:tblpY="63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With every strong assumption in its favor the target reaches CLP 2,928, still 18% below the price</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Cumulative waterfall in the order shown; the table gives each assumption on its own. Target price = 80% DCF + 20% multiples. Source: v3 DCF replica;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22;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It is a real cash saving (it lowers current tax), not accounting: CLP 61 per share undiscounted; without it the target falls 2.1% (Figure 22). And working capital grows with revenue, not with new m².</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real pre-tax on cost, a 5.0% real RONIC after tax, below a 7.2% real WACC. The IRR of a new m², with capex, ramp, maintenance and working capital, is 4.62% real (7.76% nominal): 257 bp below the real WACC and 265 bp below the nominal one. Expansion adds revenue but not value, so terminal value grows only with inflation (g of 3.0% nominal, 0% real) and a higher g lowers value (Figure 23). Assuming more growth would not close the gap with the price; it would widen it.</w:t>
      </w:r>
    </w:p>
    <w:tbl>
      <w:tblPr>
        <w:tblpPr w:leftFromText="0" w:rightFromText="0" w:topFromText="0" w:bottomFromText="0" w:tblpX="7956" w:tblpY="37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(EBITDA/EV yield; with UF-indexed rents it is compared with real rates) over the local rate is similar in both countries, 385 bp in Chile and 302 bp in Brazil (Figure 24).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nominal Selic, a 14.34% nominal 10-year bond and 5.3% expected 2026 inflation, against a 4.5% nominal policy rate, a 5.43% nominal bond and 4.1% inflation in Chile, with similar real GDP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25): multiples confirm the stock is expensive, and the DCF sets the size of the gap. We exclude P/E (CLP 8,644), distorted by property revaluation.</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tbl>
      <w:tblPr>
        <w:tblpPr w:leftFromText="0" w:rightFromText="0" w:topFromText="0" w:bottomFromText="0" w:tblpX="7956" w:tblpY="108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real 6.0% cap rate, against 10.1% in our DCF, 6.4% for Chilean peers and 7.5% at book value (Figure 26). The market pays 1.61x an equity base already at fair value, appraised at a real discount rate of ~5.55% (Note 11); the real IRR the price leaves, 4.4%, is below that rate: it pays more than the appraisers themselves. To justify CLP 3,555, the nominal WACC would have to be 285 bp lower (7.56%; Figure 27); even at the appraisers' rate (5.55% real, 8.72% nominal), the DCF would be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(nominal WACC +100 bp and the 75.8% quarterly-low margin) the target falls to CLP 1,713; in a bull case combining nominal WACC −100 bp, nominal g of 2.5%, the 81.3% quarterly-peak margin and the cut in corporate tax to 23%, it rises to CLP 2,627, still 26% below the price. APV (CLP 1,894), a peso-bond Rf (~CLP 2,439) and other debt targets (DCF of CLP 1,819 to 1,894) lead to the same conclusion (Appendix 18). The firm's IRR at the market price barely moves across scenarios (7.3%, 7.6% and 7.9% nominal in bear, base and bull; 4.2%, 4.4% and 4.7% real) and always stays below each one's WACC (409, 284 and 152 bp nominal): even the bull case leaves no margin of safety.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nominal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tbl>
      <w:tblPr>
        <w:tblpPr w:leftFromText="0" w:rightFromText="0" w:topFromText="0" w:bottomFromText="0" w:tblpX="7956" w:tblpY="35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real 9.3% cap rate and 0.94x book value. Rolling the DCF to 30-Sep-26 would lift it to ~CLP 2,118 without changing the call. The catalyst is the same force behind the thesis: with the nominal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real coupon (at the latest issue's 4.33% real effective rate, the nominal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The price requires a nominal WACC 285 bp lower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28 classifies each risk by likelihood and by its impact on value per share (Figures 29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29).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29).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30).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small, because indexed rents rise with inflation: a 100 bp rise in the long nominal rate coming entirely from expected inflation takes off only 0.3%; if it came entirely from the real rate, 12.0% (Figure 31). The risk is that weaker consumption prevents passing inflation through to rents: if only 70% of the cash flow were indexed, the effect of inflation would rise to 1.0%.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29).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minimum and maximum of each variable (Mallplaza releases 4Q23–2Q26; financial statements for maintenance capex and appraisal, Note 11). WACC 10.41% and g 3.0% constant. Source: Mallplaza;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Target price by long nominal rate and the share of its rise that comes from inflation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10-year BCP (base 6.25%, 30-Sep-26); the rise is split between real rate and inflation; 85% of cash flow is indexed to inflation (team assumption). Source: Central Bank of Chile; Team analysis.</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ESG RISK MATRIX</w:t>
      </w:r>
    </w:p>
    <w:p>
      <w:pPr>
        <w:keepNext w:val="false"/>
        <w:spacing w:after="30" w:before="20" w:line="228" w:lineRule="auto"/>
      </w:pPr>
      <w:r>
        <w:rPr>
          <w:rFonts w:ascii="Arial" w:cs="Arial" w:eastAsia="Arial" w:hAnsi="Arial"/>
          <w:b/>
          <w:bCs/>
          <w:color w:val="14284B"/>
          <w:sz w:val="14"/>
          <w:szCs w:val="14"/>
        </w:rPr>
        <w:t xml:space="preserve">Figure 8.5: </w:t>
      </w:r>
      <w:r>
        <w:rPr>
          <w:rFonts w:ascii="Arial" w:cs="Arial" w:eastAsia="Arial" w:hAnsi="Arial"/>
          <w:color w:val="14284B"/>
          <w:sz w:val="14"/>
          <w:szCs w:val="14"/>
        </w:rPr>
        <w:t xml:space="preserve">ESG factor matrix and its effect on the investment case</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Materiality, time horizon, ability to absorb losses and net effect are team assessments. Framework adapted from S&amp;P Global Ratings' approach to ESG credit factors. Source: Mallplaza Annual Report 2025, Bloomberg, MSCI, Sustainalytics, S&amp;P Global; Team analysis.</w:t>
      </w:r>
    </w:p>
    <w:p>
      <w:pPr>
        <w:keepNext w:val="false"/>
        <w:pBdr>
          <w:bottom w:val="single" w:color="E9004B" w:sz="8" w:space="1"/>
        </w:pBdr>
        <w:spacing w:after="50" w:before="160"/>
      </w:pPr>
      <w:r>
        <w:rPr>
          <w:rFonts w:ascii="Arial" w:cs="Arial" w:eastAsia="Arial" w:hAnsi="Arial"/>
          <w:b/>
          <w:bCs/>
          <w:color w:val="14284B"/>
          <w:sz w:val="16"/>
          <w:szCs w:val="16"/>
        </w:rPr>
        <w:t xml:space="preserve">8. EXECUTIVE TEAM TRACK RECORD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Name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Role at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Tenure</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Previous experience</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Profile and responsibilities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(since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Commercial profile; experience in regional integrations.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(until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Led the company until 2025; extensive career in Latin American retail.</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Administration and Finance Officer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International experience; his area leads the financial structure and the entry into global indices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Chief Technology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modernizing omnichannel sales and corporate cybersecurity.</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People and Culture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Over 20 years of international experience in talent management.</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Development and Business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growth through M&amp;A and greenfield developments.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Legal, Risk and Compliance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corporate legal affairs and risk and compliance management.</w:t>
            </w:r>
          </w:p>
        </w:tc>
      </w:tr>
    </w:tbl>
    <w:p>
      <w:pPr>
        <w:keepNext w:val="false"/>
        <w:spacing w:after="0" w:before="10" w:line="216" w:lineRule="auto"/>
      </w:pPr>
      <w:r>
        <w:rPr>
          <w:rFonts w:ascii="Arial" w:cs="Arial" w:eastAsia="Arial" w:hAnsi="Arial"/>
          <w:color w:val="5F5F5F"/>
          <w:sz w:val="11"/>
          <w:szCs w:val="11"/>
        </w:rPr>
        <w:t xml:space="preserve">Source: company public information; Team notes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29–31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aa436bb3aa9a686f40cb70464b01c0030364a1d6.png"/><Relationship Id="rId11" Type="http://schemas.openxmlformats.org/officeDocument/2006/relationships/image" Target="media/b2b2d7c7efb3f30eb3d2f36989cfa14f2029adbe.png"/><Relationship Id="rId12" Type="http://schemas.openxmlformats.org/officeDocument/2006/relationships/image" Target="media/3e0d5cd7410072f621125f9466a47538b8484785.png"/><Relationship Id="rId13" Type="http://schemas.openxmlformats.org/officeDocument/2006/relationships/image" Target="media/930b12feb78c2a7223e3994135daa5f82e020ffe.png"/><Relationship Id="rId14" Type="http://schemas.openxmlformats.org/officeDocument/2006/relationships/image" Target="media/97008b1080de62d6fb081f52664a91d418d7934e.png"/><Relationship Id="rId15" Type="http://schemas.openxmlformats.org/officeDocument/2006/relationships/image" Target="media/c38872059cd5731903c2ad5041f07c8d4699b365.png"/><Relationship Id="rId16" Type="http://schemas.openxmlformats.org/officeDocument/2006/relationships/image" Target="media/e5b584d1e109e6d51d861c2bfc30932feb309163.png"/><Relationship Id="rId17" Type="http://schemas.openxmlformats.org/officeDocument/2006/relationships/image" Target="media/9186d6d0fd41b9f3fd8c32d4b6b821345cc10ac1.png"/><Relationship Id="rId18" Type="http://schemas.openxmlformats.org/officeDocument/2006/relationships/image" Target="media/51e598226025a42a737e6fef5a13425c2c8649a0.png"/><Relationship Id="rId19" Type="http://schemas.openxmlformats.org/officeDocument/2006/relationships/image" Target="media/9570f91f852c6c39aad8d6f047dd2c1bef9ac37e.png"/><Relationship Id="rId20" Type="http://schemas.openxmlformats.org/officeDocument/2006/relationships/image" Target="media/7f8911a6a4fdcc2831d9e8a06b4c90219a71b39d.png"/><Relationship Id="rId21" Type="http://schemas.openxmlformats.org/officeDocument/2006/relationships/image" Target="media/34cf5efedec970dddabf7ad7f0397fa946dde7af.png"/><Relationship Id="rId22" Type="http://schemas.openxmlformats.org/officeDocument/2006/relationships/image" Target="media/67d3af205c0720abae927a295402b8173067a71d.png"/><Relationship Id="rId23" Type="http://schemas.openxmlformats.org/officeDocument/2006/relationships/image" Target="media/0ecdedf336d9450fef0f4340e7d2f3445bf5d5ea.png"/><Relationship Id="rId24" Type="http://schemas.openxmlformats.org/officeDocument/2006/relationships/image" Target="media/100e719272ccd251c35d82999c2cbfdfab008b96.png"/><Relationship Id="rId25" Type="http://schemas.openxmlformats.org/officeDocument/2006/relationships/image" Target="media/0e8de6046ea8cf465c51ece1e2db1d0fdb7f5b9e.png"/><Relationship Id="rId26" Type="http://schemas.openxmlformats.org/officeDocument/2006/relationships/image" Target="media/fbaa45cc822c3cf6d5ceb7547cdd01441f6bb8f4.png"/><Relationship Id="rId27" Type="http://schemas.openxmlformats.org/officeDocument/2006/relationships/image" Target="media/614c883e6f2b898c089b825413644af7dee880dd.png"/><Relationship Id="rId28" Type="http://schemas.openxmlformats.org/officeDocument/2006/relationships/image" Target="media/a62342d9ec50c46f4e7f430f13c67905c743e7ce.png"/><Relationship Id="rId29" Type="http://schemas.openxmlformats.org/officeDocument/2006/relationships/image" Target="media/c23baf12f58fb7d6f1f8761bea3b0491de401375.png"/><Relationship Id="rId30" Type="http://schemas.openxmlformats.org/officeDocument/2006/relationships/image" Target="media/31d0b48de66fdcb2106a00b6ec45fcaaff752dfe.png"/><Relationship Id="rId31" Type="http://schemas.openxmlformats.org/officeDocument/2006/relationships/image" Target="media/30cb8469be326b2ca7bbe97b9caa7e1c4842f99d.png"/><Relationship Id="rId32" Type="http://schemas.openxmlformats.org/officeDocument/2006/relationships/image" Target="media/11ae97cbbba07ae07141e02f3be12fcfb32209b4.png"/><Relationship Id="rId33" Type="http://schemas.openxmlformats.org/officeDocument/2006/relationships/image" Target="media/d40688d44987d578c4578ea19e236ca614ea843a.png"/><Relationship Id="rId34" Type="http://schemas.openxmlformats.org/officeDocument/2006/relationships/image" Target="media/b3e445c9f34a4a944fb280d19258017788441bf7.png"/><Relationship Id="rId35" Type="http://schemas.openxmlformats.org/officeDocument/2006/relationships/image" Target="media/67c8ea2a55c01eaf39a5b555e17932328157a3b1.png"/><Relationship Id="rId36" Type="http://schemas.openxmlformats.org/officeDocument/2006/relationships/image" Target="media/f93973cef37e97655b8f2ee6a16d436dc31b144b.png"/><Relationship Id="rId37" Type="http://schemas.openxmlformats.org/officeDocument/2006/relationships/image" Target="media/622cee3aa81df98e2bbcd50166634b878e8dd818.png"/><Relationship Id="rId38" Type="http://schemas.openxmlformats.org/officeDocument/2006/relationships/image" Target="media/b8b9a15c183547580a13fa91b71ffc6d2de6d1b6.png"/><Relationship Id="rId39" Type="http://schemas.openxmlformats.org/officeDocument/2006/relationships/image" Target="media/c59b24049313dff36dc84ade4dcb2534413819d0.png"/><Relationship Id="rId40" Type="http://schemas.openxmlformats.org/officeDocument/2006/relationships/image" Target="media/4629fff7f4d90544c6881dfa0ac0b1581647ead4.png"/><Relationship Id="rId41" Type="http://schemas.openxmlformats.org/officeDocument/2006/relationships/image" Target="media/d810a8de8705d486a1cc41f629d6e44a63c29c7d.png"/><Relationship Id="rId42" Type="http://schemas.openxmlformats.org/officeDocument/2006/relationships/image" Target="media/30db9ba6696526f51fce71150cb064598929c470.png"/><Relationship Id="rId43" Type="http://schemas.openxmlformats.org/officeDocument/2006/relationships/image" Target="media/79483e499b773861f736c4797e4f6cc8c65b3a9f.png"/><Relationship Id="rId44" Type="http://schemas.openxmlformats.org/officeDocument/2006/relationships/image" Target="media/6776e5c5d5e3b831d3a6082e34880dd0764b9702.png"/><Relationship Id="rId45" Type="http://schemas.openxmlformats.org/officeDocument/2006/relationships/image" Target="media/6c32e3d1a1d4ea4565596481224b7e392927ea41.png"/><Relationship Id="rId46" Type="http://schemas.openxmlformats.org/officeDocument/2006/relationships/image" Target="media/fb371acf9afb43003bfd5fcfe998ff3f42126817.png"/><Relationship Id="rId47" Type="http://schemas.openxmlformats.org/officeDocument/2006/relationships/image" Target="media/9d7f4f37ccf94ef7fd235868df77621056da952c.png"/><Relationship Id="rId48" Type="http://schemas.openxmlformats.org/officeDocument/2006/relationships/image" Target="media/b6ce42f600e79cb79b0a52817697edfb12996ec6.png"/><Relationship Id="rId49" Type="http://schemas.openxmlformats.org/officeDocument/2006/relationships/image" Target="media/1987ead589840fa585f367b9fb74310fee03f7dd.png"/><Relationship Id="rId50" Type="http://schemas.openxmlformats.org/officeDocument/2006/relationships/image" Target="media/a1a01b45d6be15873163d7f4df2b5d1388d71092.png"/><Relationship Id="rId51" Type="http://schemas.openxmlformats.org/officeDocument/2006/relationships/image" Target="media/74b785ab5dc6ff2d7a2669dbff7ca479845d79c7.png"/><Relationship Id="rId52" Type="http://schemas.openxmlformats.org/officeDocument/2006/relationships/image" Target="media/cad639ca5e0bdcd7eee0898b91cc8274ca418bf7.png"/><Relationship Id="rId53" Type="http://schemas.openxmlformats.org/officeDocument/2006/relationships/image" Target="media/b75d7c57b9f5e0f71be8fa7975bc23b67c6f4a4a.png"/><Relationship Id="rId54" Type="http://schemas.openxmlformats.org/officeDocument/2006/relationships/image" Target="media/7640993cad1d25805eb3ec4b6d40d373df297a1b.png"/><Relationship Id="rId55" Type="http://schemas.openxmlformats.org/officeDocument/2006/relationships/image" Target="media/097d9e68442f8586148a911de890f9b42b249cf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2026-10-17T21:24:45.974Z</dcterms:created>
  <dcterms:modified xsi:type="dcterms:W3CDTF">2026-10-17T21:24:45.975Z</dcterms:modified>
</cp:coreProperties>
</file>

<file path=docProps/custom.xml><?xml version="1.0" encoding="utf-8"?>
<Properties xmlns="http://schemas.openxmlformats.org/officeDocument/2006/custom-properties" xmlns:vt="http://schemas.openxmlformats.org/officeDocument/2006/docPropsVTypes"/>
</file>