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 (80% DCF y 20% múltiplos), 41,6% bajo el cierre de CLP 3.555 del 30-sep-26. Ningún método justifica el precio actual (Figura 27).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PONDERACIÓN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Asignamos 80% al DCF porque los flujos de Mallplaza son muy predecibles: el 81,4% de los ingresos UDM son arriendos y el 93% de ellos es renta fija. Los múltiplos (20%) contrastan el modelo con lo que paga hoy el mercado; limitamos su peso porque en Chile solo hay dos pares directos (Parque Arauco y Cencosud Shopping) y porque no capturan la expansión de GLA ni la trayectoria de deuda de Mallplaza, que sí están en el DCF.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ESTRUCTURA Y TASA DE DESCUENTO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Valoramos el FCFF en dos etapas, en CLP nominales, al 30-jun-26 y con convención de mitad de período. La etapa explícita (2S26E–2031E) incluye el capex y la maduración de los proyectos que abren hasta 2032 (108.301 m² de GLA madura en el año terminal). Desde 2032, una perpetuidad de Gordon explica el 76% del EV, sin GLA neta nueva y con capex solo de mantención (Anexo [B]).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WACC.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Cambia por período a medida que la DFN/EBITDA converge de 2,36x a 3,5x en 2031 (D/E de 20,0% a 28,5%): 10,54% en 2S26E y 10,41% en el terminal (7,32% y 7,20% reales). El Ke se calcula en USD y se pasa a CLP con el diferencial de inflación: Rf 4,98% + beta 1,14 × ERP 4,14% + CRP 1,41% = 11,10% (11,93% en CLP, terminal). La beta re-apalanca la mediana desapalancada de seis pares (0,94) y el CRP pondera el riesgo soberano por ingresos (71,8% Chile, 17,7% Perú y 10,5% Colombia). El Kd parte del cupón de la última emisión en UF (3,6% real) más 25 pb por vuelta de apalancamiento sobre 2,36x: 4,92% después de impuestos en 2S26E y 5,11% en el terminal. A CLP 3.555 el patrimonio rinde casi lo mismo que esa deuda (Figura 28; detalle en el 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Estructura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usa su capacidad de deuda para crecer (llegó a 3,78x en 2024 tras comprar Open Plaza Perú). Como el FCFF ya cubre el capex, la deuda adicional se devuelve a los accionistas como distribución (CLP 1,79 billones acumulados a 2031): no entra en el EV, pero hace que la deuda supuesta en la WACC exista en el plan (Anexo [D]).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PROYECCIÓN OPERATIVA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EBITDA reportado (CLP 544.935 MM UDM, margen de 80,5%) excluye la revalorización de propiedades (NIC 40); proyectamos un margen de 79,8% hasta 2031E. La tasa de impuesto operacional sube de 16,8% en 2026E a 27% en 2030E, a medida que se diluyen los beneficios vigentes. El capex base (pipeline más mantención de 5,5% de los ingresos) llega a CLP 240.660 MM en 2027 y baja a ~CLP 50.000 MM desde 2029. Desde 2029 abren además 27.075 m² al año (promedio histórico), con capex de CLP 95.000–104.000 MM anuales, una rampa de 35%/90%/100% y un yield on cost de 6,9%, al costo del pipeline identificado (USD 3.603/m²: 170.200 m² y USD 613,2 MM). El capital de trabajo (15,6% × Δ ingresos) exige CLP 7.100–9.900 MM al año y mueve el precio solo ±1,2% (Anexo [C]).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VALOR TERMINAL Y CAP RATE IMPLÍCITO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g = 3,0% nominal (0% real). El RONIC real de la expansión (5,0%) es menor que la WACC real (7,2%): crecer más allá del horizonte destruye valor y un g mayor lo reduce (Figura 29). El DCF implica un cap rate de 10,1% sobre el EV y de 11,3% sobre el valor terminal, frente a 6,0% del mercado, 6,4% de los pares chilenos, 7,5% a valor libro y 5,55% de los tasadores (Nota 11) (Figura 30). Esa brecha no es una inconsistencia: es el núcleo de la tesis. Para justificar el precio actual, la WACC tendría que ser 285 pb menor (Figura 31).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VALUACIÓN RELATIVA: MÚLTIPLOS (20%)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set es el mismo de la beta: Parque Arauco y Cencosud Shopping (Chile), Allos, Multiplan e Iguatemi (Brasil) e IRSA (Argentina, con cautela por NIC 29 y un solo analista en el NTM). Excluimos Fibra Danhos, que como FIBRA distribuye el 95% de su resultado fiscal (Anexo [E]). Brasil transa a múltiplos más bajos por sus tasas y primas de riesgo (mediana de 9,0x EV/EBITDA frente a 15,7x en Chile; Figura 32). Como el 71,8% de los ingresos viene de Chile, el múltiplo pondera 70% la mediana chilena y 30% la del set (11,1x): 14,4x.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EV/EBITDA porque es neutral al apalancamiento y a la revalorización (NIC 40). A 14,4x, el valor es CLP 2.951 por acción. Mallplaza transa a 16,8x LTM: 7% sobre la mediana chilena, bajo Parque Arauco (18,4x) y 17% sobre el múltiplo ponderado (Figura 33). Excluimos el P/E (CLP 8.644, distorsionado por la revalorización). Los múltiplos usan la deuda neta de Bloomberg (CLP 1.311.569 MM), igual que los pares; el DCF, la DFN de la compañía (CLP 1.285.740 MM).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RIESGOS DE LA VALUACIÓN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la WACC ±100 pb y g entre 2,5% y 4,0%, el DCF va de CLP 1.379 a 2.329 (Figura 25; Anexo [F]), y el peor caso operacional histórico le resta 10,0% (Figura 24). Todos los múltiplos quedan bajo el precio: EV/EBITDA LTM CLP 2.951 (−17%), NTM CLP 2.914 (−18%), EV/EBIT CLP 3.098 (−13%), P/BV CLP 3.171 (−11%) y la mediana chilena sola CLP 3.294 (−7%) (Figura 27).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Robustez.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APV da CLP 1.894 (2% sobre el DCF); con el bono en pesos como Rf, el precio objetivo sube a ~CLP 2.439 (−31%; Anexo [Z]); y con un objetivo de DFN/EBITDA entre 2,36x y 4,0x, el DCF va de CLP 1.819 a 1.894.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Precio objetivo.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80% × CLP 1.857 + 20% × CLP 2.951 = CLP 2.076, un retorno de −41,6% frente a CLP 3.555 (30-sep-26). Llevar el DCF del 30-jun al 30-sep-26 lo subiría a ~CLP 1.910 y el precio objetivo a ~CLP 2.118 (−40,4%): la recomendación no cambia.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al alza.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Una compresión sostenida de los cap rates por mayor demanda institucional por activos defensivos, o una prima estructural para los activos Tier A de Mallplaza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Múltiplos de los pares vs tasa local</w:t>
            </w:r>
          </w:p>
          <w:tbl>
            <w:tblPr>
              <w:tblW w:type="dxa" w:w="35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50"/>
            </w:tblGrid>
            <w:tr>
              <w:trPr>
                <w:trHeight w:val="1700" w:hRule="atLeast"/>
              </w:trPr>
              <w:tc>
                <w:tcPr>
                  <w:tcW w:type="dxa" w:w="3550"/>
                  <w:tcBorders>
                    <w:top w:val="dashed" w:color="9AA3B5" w:sz="6"/>
                    <w:left w:val="dashed" w:color="9AA3B5" w:sz="6"/>
                    <w:bottom w:val="dashed" w:color="9AA3B5" w:sz="6"/>
                    <w:right w:val="dashed" w:color="9AA3B5" w:sz="6"/>
                  </w:tcBorders>
                  <w:shd w:fill="F7F8FB" w:color="auto" w:val="clear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F5F5F"/>
                      <w:sz w:val="14"/>
                      <w:szCs w:val="14"/>
                    </w:rPr>
                    <w:t xml:space="preserve">Gráfico pendiente (falta la NTN-B de Brasil, Bloomberg).</w:t>
                  </w:r>
                </w:p>
              </w:tc>
            </w:tr>
          </w:tbl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2aa57cef7da9e4d5005f807e2f30d9cddf02ab19.png"/><Relationship Id="rId15" Type="http://schemas.openxmlformats.org/officeDocument/2006/relationships/image" Target="media/cfbf5acba453ccf3377ff247a69f09666e6aff6b.png"/><Relationship Id="rId16" Type="http://schemas.openxmlformats.org/officeDocument/2006/relationships/image" Target="media/a14461c60f2f31bfdc29315896668970d5d2ddcf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2026-10-14T01:40:27.204Z</dcterms:created>
  <dcterms:modified xsi:type="dcterms:W3CDTF">2026-10-14T01:40:27.205Z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