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es el mayor operador de centros comerciales de la región andina: 37 centros y 2,36 millones de m² de GLA en Chile, Perú y Colombia. El 81,4% de sus ingresos son arriendos y el 93% de ellos es renta fija reajustada en UF en Chile; el margen EBITDA de los últimos doce meses (UDM) es 80,5%. Es un negocio excelente, pero a CLP 3.555 (30-sep-26) el mercado lo paga como si sus flujos estuvieran casi libres de riesgo. Ponderando 80% un DCF (CLP 1.859) y 20% los múltiplos de pares (CLP 2.951), el precio objetivo es CLP 2.077 (−41,6% frente al precio) y recomendamos VENDER. El desacuerdo con el mercado no está en los flujos, sino en la tasa de descuento: el precio exige una WACC nominal en CLP de 7,60% (4,5% real, en UF), 281 pb bajo nuestra WACC nominal de 10,41% (7,2% real), y un cap rate real (EBITDA UDM sobre valor de empresa) de 6,0% frente al 10,1% que implican nuestros flujos. Crecer no rescata el precio: el retorno real después de impuestos sobre el costo de un m² nuevo (RONIC) es 5,3%, bajo la WACC real de 7,2%. Ni el escenario bull, en que todo sale bien (CLP 2.915), ni la tasa de los tasadores (CLP 2.734) alcanzan la cotización. Lo que rompería la tesis es una nueva compresión de las tasas largas o una prima estructural por los activos Tier A; un alza de tasas, en cambio, la refuerza.</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Recomendación</w:t>
            </w:r>
          </w:p>
          <w:p>
            <w:pPr>
              <w:keepNext w:val="false"/>
              <w:jc w:val="center"/>
            </w:pPr>
            <w:r>
              <w:rPr>
                <w:rFonts w:ascii="Arial" w:cs="Arial" w:eastAsia="Arial" w:hAnsi="Arial"/>
                <w:b/>
                <w:bCs/>
                <w:color w:val="FFFFFF"/>
                <w:sz w:val="26"/>
                <w:szCs w:val="26"/>
              </w:rPr>
              <w:t xml:space="preserve">VENDER</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objetivo</w:t>
            </w:r>
          </w:p>
          <w:p>
            <w:pPr>
              <w:keepNext w:val="false"/>
              <w:jc w:val="center"/>
            </w:pPr>
            <w:r>
              <w:rPr>
                <w:rFonts w:ascii="Arial" w:cs="Arial" w:eastAsia="Arial" w:hAnsi="Arial"/>
                <w:b/>
                <w:bCs/>
                <w:color w:val="FFFFFF"/>
                <w:sz w:val="26"/>
                <w:szCs w:val="26"/>
              </w:rPr>
              <w:t xml:space="preserve">CLP 2.077</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Precio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Potencial</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DESCRIPCIÓN DEL NEGOCIO</w:t>
      </w:r>
    </w:p>
    <w:p>
      <w:pPr>
        <w:keepNext/>
        <w:pBdr>
          <w:bottom w:val="single" w:color="E9004B" w:sz="8" w:space="1"/>
        </w:pBdr>
        <w:spacing w:after="50" w:before="110"/>
        <w:ind w:right="3766"/>
      </w:pPr>
      <w:r>
        <w:rPr>
          <w:rFonts w:ascii="Arial" w:cs="Arial" w:eastAsia="Arial" w:hAnsi="Arial"/>
          <w:b/>
          <w:bCs/>
          <w:color w:val="14284B"/>
          <w:sz w:val="16"/>
          <w:szCs w:val="16"/>
        </w:rPr>
        <w:t xml:space="preserve">DE UN MALL EN LA FLORIDA A 37 CENTROS URBANOS EN LA REGIÓN ANDINA</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crecen en términos reales. En Chile el arriendo en mismas tiendas (SSR, nominal) aumentó 6,5% UDM frente a un IPC de 4,3% (1T23–2T26: SSR promedio de 6,9% frente a una inflación de 4,8%), sin que los locatarios lo resientan: el costo de ocupación consolidado (arriendo sobre ventas de los locatarios) es apenas 9,9%, casi igual que un año antes (9,7%).</w:t>
      </w:r>
    </w:p>
    <w:p>
      <w:pPr>
        <w:keepNext/>
        <w:pBdr>
          <w:bottom w:val="single" w:color="E9004B" w:sz="8" w:space="1"/>
        </w:pBdr>
        <w:spacing w:after="50" w:before="110"/>
        <w:ind w:right="3766"/>
      </w:pPr>
      <w:r>
        <w:rPr>
          <w:rFonts w:ascii="Arial" w:cs="Arial" w:eastAsia="Arial" w:hAnsi="Arial"/>
          <w:b/>
          <w:bCs/>
          <w:color w:val="14284B"/>
          <w:sz w:val="16"/>
          <w:szCs w:val="16"/>
        </w:rPr>
        <w:t xml:space="preserve">UN MIX DE LOCATARIOS QUE SE REINVENTA Y MÁRGENES ALTOS POR DISEÑO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Ese poder de precio descansa en un mix de locatarios renovado.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(supermercados, mejoramiento del hogar, servicios públicos, salud), que generan visitas frecuentes, y otro 21,5% a retail de especialidad. Ningún cliente domina los ingresos, ya que los cinco mayores locatarios suman 18% y las empresas relacionadas, 15,7%. A esto se suma una estructura de costos reducida: costo de ventas de 6,2% de los ingresos y gastos de administración de 13,9%, que dejan un margen EBITDA de 80,5% UDM.</w:t>
      </w:r>
    </w:p>
    <w:p>
      <w:pPr>
        <w:keepNext/>
        <w:pBdr>
          <w:bottom w:val="single" w:color="E9004B" w:sz="8" w:space="1"/>
        </w:pBdr>
        <w:spacing w:after="50" w:before="110"/>
        <w:ind w:right="3766"/>
      </w:pPr>
      <w:r>
        <w:rPr>
          <w:rFonts w:ascii="Arial" w:cs="Arial" w:eastAsia="Arial" w:hAnsi="Arial"/>
          <w:b/>
          <w:bCs/>
          <w:color w:val="14284B"/>
          <w:sz w:val="16"/>
          <w:szCs w:val="16"/>
        </w:rPr>
        <w:t xml:space="preserve">EL VALOR SE CONCENTRA EN 10 ACTIVOS TIER 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crecimiento se concentra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 Es un activo excelente; la pregunta siguiente es cuán defendible es su posición frente a la competencia.</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DE LA INDUSTRIA Y POSICIONAMIENTO COMPETITIVO</w:t>
      </w:r>
    </w:p>
    <w:p>
      <w:pPr>
        <w:keepNext/>
        <w:pBdr>
          <w:bottom w:val="single" w:color="E9004B" w:sz="8" w:space="1"/>
        </w:pBdr>
        <w:spacing w:after="50" w:before="110"/>
        <w:ind w:right="3766"/>
      </w:pPr>
      <w:r>
        <w:rPr>
          <w:rFonts w:ascii="Arial" w:cs="Arial" w:eastAsia="Arial" w:hAnsi="Arial"/>
          <w:b/>
          <w:bCs/>
          <w:color w:val="14284B"/>
          <w:sz w:val="16"/>
          <w:szCs w:val="16"/>
        </w:rPr>
        <w:t xml:space="preserve">UNA INDUSTRIA CONCENTRADA EN CHILE Y FRAGMENTADA EN PERÚ Y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por GLA y no por ventas. No existe un GLA total de la industria: usamos el de los principales operadores de cada país, y bajo esa óptica Mallplaza, Cenco Malls y Parque Arauco (el trío) administran en conjunto 3,4 millones de m² en Chile (3,29 millones sin oficinas).</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2T26</w:t>
            </w:r>
          </w:p>
          <w:p>
            <w:pPr>
              <w:keepNext w:val="false"/>
              <w:spacing w:after="20" w:before="0" w:line="240" w:lineRule="auto"/>
              <w:jc w:val="center"/>
            </w:pPr>
            <w:r>
              <w:drawing>
                <wp:inline distT="0" distB="0" distL="0" distR="0">
                  <wp:extent cx="22574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3811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índice de concentración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En Perú ese líder es Real Plaza (InRetail), con 888.000 m² frente a 618.093 m² de Mallplaza, que aun así genera más EBITDA por m² (S/ 159 frente a S/ 148 en el 2T26). La fragmentación es mayor en Colombia, donde la mayoría de los centros comerciales es de propiedad horizontal, lo que obliga a los operadores profesionales a crecer comprando activos de dueño único, como hará Mallplaza con Gran Plaza (179.667 m², adquisición anunciada).</w:t>
      </w:r>
    </w:p>
    <w:p>
      <w:pPr>
        <w:keepNext/>
        <w:pBdr>
          <w:bottom w:val="single" w:color="E9004B" w:sz="8" w:space="1"/>
        </w:pBdr>
        <w:spacing w:after="50" w:before="110"/>
        <w:ind w:right="3766"/>
      </w:pPr>
      <w:r>
        <w:rPr>
          <w:rFonts w:ascii="Arial" w:cs="Arial" w:eastAsia="Arial" w:hAnsi="Arial"/>
          <w:b/>
          <w:bCs/>
          <w:color w:val="14284B"/>
          <w:sz w:val="16"/>
          <w:szCs w:val="16"/>
        </w:rPr>
        <w:t xml:space="preserve">LA OFERTA NUEVA EN CHILE CRECE POR DEBAJO DEL CONSUMO, CON PRESIÓN CONCENTRADA EN 2027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5,1% del GLA de los principales operadores en Chile. Ese GLA (≈4,3 millones de m²) resulta de dividir el GLA del trío sin oficinas (3,29 millones) por su participación de 76% (supuestos en el Anexo 7); medir la oferta sobre el GLA del propio trío (6,7%) sobrestimaría la presión, porque excluye a los demás operadores. La cifra excluye las oficinas y el multifamily, que no dependen del consumo, y las adquisiciones, que solo cambian de dueño (detalle en el Anexo 3). En el mismo período el Banco Central proyecta un crecimiento real acumulado de 6,4% del consumo privado (Figura 3), de modo que la oferta nueva avanza por debajo de la demanda esperada. El calendario no es parejo: 2026 casi no suma metros (+0,2%) y la presión se concentra en 2027, cuando la oferta (+2,2%) apenas supera al consumo (+2,1%); en 2028 vuelve a quedar bajo él (+2,6% frente a +2,7%). Solo medimos la oferta del trío, cuyo pipeline es público: si los demás operadores abren m² adicionales, la presión sería mayor.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punto de partida es débil: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(nominales, en moneda local).</w:t>
      </w:r>
    </w:p>
    <w:tbl>
      <w:tblPr>
        <w:tblpPr w:leftFromText="0" w:rightFromText="0" w:topFromText="0" w:bottomFromText="0" w:tblpX="7956" w:tblpY="-989"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del 2T26 de Plaza S.A., Parque Arauco y Cenco Malls; Banco Central de Chile, IPoM sep-2026 (Tabla II.1); análisis del equipo. Solo GLA orgánico que depende del consumo.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UNA INDUSTRIA ATRACTIVA, CUYA ÚNICA FUERZA INTENSA ES LA RIVALIDAD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de 71% a 90% en los tres operadores.</w:t>
      </w:r>
    </w:p>
    <w:tbl>
      <w:tblPr>
        <w:tblpPr w:leftFromText="0" w:rightFromText="0" w:topFromText="0" w:bottomFromText="0" w:tblpX="7956" w:tblpY="148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del 2T26 (Anexo 6). 1 = fuerza débil; 5 = fuerza intensa.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No hay señales de guerra de precios, ya que en el 2T26 los tres operadores subieron sus arriendos nominales en mismas tiendas en Chile (Mallplaza +5,4%, Parque Arauco +3,8% y Cenco +0,8%, este último afectado por un menor arriendo variable ligado a las ventas), con una ocupación de 96-99% que no deja espacio vacío que llenar con descuentos (Anexo 6, tabla B). Mallplaza destina más de la mitad de su GLA a formatos no tradicionales, experiencia y entretención, Cenco abrió QINTO (30.000 m² de gastronomía) y Parque Arauco suma pisos gastronómicos en Kennedy, y la competencia por comprar activos se intensifica (Minka y Plaza Central cambiaron de dueño; Parque Arauco anunció Quilín y Chicureo). No le asignamos la nota máxima porque las participaciones del trío en Chile se mantienen estables desde el 2T22 (Anexo 5) y los márgenes no muestran erosión.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TIENE EL M² MÁS PRODUCTIVO DEL TRÍO, PERO POR POCO</w:t>
      </w:r>
    </w:p>
    <w:tbl>
      <w:tblPr>
        <w:tblpPr w:leftFromText="0" w:rightFromText="0" w:topFromText="0" w:bottomFromText="0" w:tblpX="7956" w:tblpY="67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2T26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tiene el mayor EBITDA por m² del trío: CLP 59.451 en el 2T26 (trimestral, sin anualizar), frente a 58.384 de Cenco y 55.363 de Parque Arauco, ajustado por su NOI multifamily (55.738 sin ajuste; Figura 5). La ventaja es de 1,8% sobre Cenco y 7,4% sobre Parque Arauco. Nace de ubicaciones urbanas de alto tráfico, que en Chile recibieron 52,7 millones de visitas en el trimestre frente a 32,5 millones en Cenco, y de ventas mensuales por m² 5,8% mayores que un año antes. La brecha con Cenco es estrecha y en parte se explica porque Cenco incorporó Plaza Central en junio, con apenas un mes de EBITDA en el trimestre.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110"/>
        <w:ind w:right="3766"/>
      </w:pPr>
      <w:r>
        <w:rPr>
          <w:rFonts w:ascii="Arial" w:cs="Arial" w:eastAsia="Arial" w:hAnsi="Arial"/>
          <w:b/>
          <w:bCs/>
          <w:color w:val="14284B"/>
          <w:sz w:val="16"/>
          <w:szCs w:val="16"/>
        </w:rPr>
        <w:t xml:space="preserve">CONTRATOS LARGOS PARA DEFENDER SU POSICIÓN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una industria atractiva, pero con rivalidad alta y una oferta que alcanzará al consumo en 2027, ganarán participación y rentabilidad los operadores con los activos más productivos y los contratos más estables. Mallplaza lidera en escala en Chile y, aunque por poco, en productividad por m², y es el único del trío con ventas reales crecientes (2T26): su posición es defendible, pero la ventaja es pequeña. Su principal riesgo es la exposición a Chile, que concentra el 62% de su GLA y donde hoy el consumo se muestra más débil.</w:t>
      </w:r>
    </w:p>
    <w:tbl>
      <w:tblPr>
        <w:tblpPr w:leftFromText="0" w:rightFromText="0" w:topFromText="0" w:bottomFromText="0" w:tblpX="7956" w:tblpY="6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AMBIENTAL, SOCIAL Y GOBIERNO CORPORATIVO (ESG)</w:t>
      </w:r>
    </w:p>
    <w:tbl>
      <w:tblPr>
        <w:tblpPr w:leftFromText="0" w:rightFromText="0" w:topFromText="0" w:bottomFromText="0" w:tblpX="7956" w:tblpY="195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keepNext w:val="false"/>
              <w:spacing w:after="20" w:before="0" w:line="240" w:lineRule="auto"/>
              <w:jc w:val="center"/>
            </w:pPr>
            <w:r>
              <w:drawing>
                <wp:inline distT="0" distB="0" distL="0" distR="0">
                  <wp:extent cx="18669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Más allá del negocio, el enfoque ESG de PLAZA atraviesa sus decisiones y busca, además de contribuir a un desarrollo sostenible, acceder a beneficios financieros propios y externos. Bloomberg califica a la empresa con 3,39 puntos, bajo la media global de la industria (5-6 puntos) y bajo su competencia directa en Chile (figura 7); esto se compensa en parte con su perfil «verde» local, pues figura entre las principales REM de la región.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la operación, el sistema de gestión de la energía (SGE) certificado ISO 50001 mejora el desempeño energético y reduce costos operativos. Entre los beneficios externos locales: en Chile, la ley de I+D (CORFO) permite hasta 55% de rebaja del impuesto de primera categoría; Perú reconoce a la empresa con 2 de 4 estrellas en «Huella de Carbono Perú», lo que facilita permisos y licencias; y Colombia, con la ley 2.099 de 2021, otorga descuentos de renta por inversiones ambientales. Además, la empresa mantiene certificaciones y participa en índices como el DJSI MILA (figura 7).</w:t>
      </w:r>
      <w:r>
        <w:rPr>
          <w:rFonts w:ascii="Arial" w:cs="Arial" w:eastAsia="Arial" w:hAnsi="Arial"/>
          <w:i w:val="false"/>
          <w:iCs w:val="false"/>
          <w:color w:val="1A1A1A"/>
          <w:sz w:val="16"/>
          <w:szCs w:val="16"/>
        </w:rPr>
        <w:t xml:space="preserve"> La figura 12 estima, como escenario y no como dato, que los ahorros operativos ESG suman unos CLP 2 por acción y que una rebaja de 25 pb en el costo de la deuda y del capital propio aportaría CLP 72 por acción, frente a los CLP 1.478 que separan el precio objetivo del precio. El efecto ESG sobre el valor es, por lo tanto, marginal; lo relevante para la tesis es el gobierno corporativo (ver más abajo).</w:t>
      </w:r>
    </w:p>
    <w:p>
      <w:pPr>
        <w:keepNext/>
        <w:pBdr>
          <w:bottom w:val="single" w:color="E9004B" w:sz="8" w:space="1"/>
        </w:pBdr>
        <w:spacing w:after="50" w:before="110"/>
        <w:ind w:right="3766"/>
      </w:pPr>
      <w:r>
        <w:rPr>
          <w:rFonts w:ascii="Arial" w:cs="Arial" w:eastAsia="Arial" w:hAnsi="Arial"/>
          <w:b/>
          <w:bCs/>
          <w:color w:val="14284B"/>
          <w:sz w:val="16"/>
          <w:szCs w:val="16"/>
        </w:rPr>
        <w:t xml:space="preserve">AMBIENTAL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enfoque de PLAZA es una gestión operativa eficiente, sustentable y circular, basada en la mejora continua del desempeño ambiental, que se traduce en menores costos de operación. Tiene tres focos: eficiencia energética e hídrica, huella de carbono y gestión de residuos. Su principal objetivo es la carbono neutralidad: ser Net Zero en emisiones directas e indirectas en 2035 (65,6% de avance a 2025).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reducir 22% la intensidad energética del gasto común al 2035 (35,5% de avance a 2025; figura 8) y alcanzar 100% de electricidad renovable en 2026 (89,3% de avance). En 2025 el consumo anual fue 0,16 MWh/m² de GLA, de los cuales 0,14 renovable y 0,014 no renovable (figura 9). </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reducir 30% el consumo directo de agua a 2025, meta cumplida en 100,9% gracias en parte a sus certificaciones LEED y EDGE; en 2025 el consumo anual promedio fue 0,77 m³/m² de GLA y 0,66 m³/m²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eliminar 100% del uso de HCFC al 2030 (14,9% de avance a 2025), clave para la gestión de emisiones de GEI, ámbito en que Bloomberg reconoce a PLAZA como líder de la industria global (un componente distinto del puntaje ESG total).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valorizar 60% de los residuos generados en 2025 (46,2% valorizado; la Memoria informa 94,8% de avance; figura 9 y Anexo 8, figura 8.4) y desviar 75% de los residuos sólidos de los vertederos al 2027; informa haber eliminado 97% de los plásticos de un solo uso. </w:t>
      </w:r>
      <w:r>
        <w:rPr>
          <w:rFonts w:ascii="Arial" w:cs="Arial" w:eastAsia="Arial" w:hAnsi="Arial"/>
          <w:b/>
          <w:bCs/>
          <w:i w:val="false"/>
          <w:iCs w:val="false"/>
          <w:color w:val="14284B"/>
          <w:sz w:val="16"/>
          <w:szCs w:val="16"/>
        </w:rPr>
        <w:t xml:space="preserve">Gestión climática: </w:t>
      </w:r>
      <w:r>
        <w:rPr>
          <w:rFonts w:ascii="Arial" w:cs="Arial" w:eastAsia="Arial" w:hAnsi="Arial"/>
          <w:i w:val="false"/>
          <w:iCs w:val="false"/>
          <w:color w:val="1A1A1A"/>
          <w:sz w:val="16"/>
          <w:szCs w:val="16"/>
        </w:rPr>
        <w:t xml:space="preserve">adopta las recomendaciones TCFD para integrar riesgos físicos y de transición, con due diligence ambiental en las adquisiciones, bajo un programa de cumplimiento alineado con la ISO 14001 y monitoreado por el comité de sustentabilidad.</w:t>
      </w:r>
    </w:p>
    <w:tbl>
      <w:tblPr>
        <w:tblpPr w:leftFromText="0" w:rightFromText="0" w:topFromText="0" w:bottomFromText="0" w:tblpX="7956" w:tblpY="-11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keepNext w:val="false"/>
              <w:spacing w:after="20" w:before="0" w:line="240" w:lineRule="auto"/>
              <w:jc w:val="center"/>
            </w:pPr>
            <w:r>
              <w:drawing>
                <wp:inline distT="0" distB="0" distL="0" distR="0">
                  <wp:extent cx="141922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19225"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tbl>
      <w:tblPr>
        <w:tblpPr w:leftFromText="0" w:rightFromText="0" w:topFromText="0" w:bottomFromText="0" w:tblpX="7956" w:tblpY="174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Ahorros ESG y menor costo de capital frente al precio de la acción (escenario).</w:t>
            </w:r>
          </w:p>
          <w:p>
            <w:pPr>
              <w:keepNext w:val="false"/>
              <w:spacing w:after="20" w:before="0" w:line="240" w:lineRule="auto"/>
              <w:jc w:val="center"/>
            </w:pPr>
            <w:r>
              <w:drawing>
                <wp:inline distT="0" distB="0" distL="0" distR="0">
                  <wp:extent cx="130492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304925"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Escenario: los precios unitarios (energía CLP 110/kWh, agua CLP 1.500/m³, residuos CLP 10.000/t), el 25% del ahorro que retiene Mallplaza y la rebaja de 25 pb en Kd y Ke son supuestos del equipo, no datos de las fuentes. Volúmenes: Memoria Mallplaza 2025. Fuente: modelo v4_ESG, hoja ESG_Ahorros;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ámbito social se articula en un modelo de relación ética de largo plazo (Anexo 8, figura 8.3) y de creación de valor compartido, que pone en el centro a los grupos de interés, alineado con la ISO 45001 y las directrices de la OIT; en 2025 se incorporó el programa de detección y respuesta ante riesgos de la política de derechos humanos. PLAZA gestiona a sus grupos de interés con diálogos comunitarios, evaluaciones de materialidad y encuestas de cultura organizacional (Anexo 8, sección 5), y cuenta con un canal de integridad para incidencias sociales; CADEM la ubicó en el puesto 31 de 385 «Marcas Ciudadanas» y primera en la categoría «Centros Comerciales» (2026). Los empleados reciben capacitación y programas para quienes se acercan a la jubilación, y se evalúa a los proveedores con criterios de sostenibilidad (55,3% de los regionales y 38,4% de los extranjeros). Con los arrendatarios mantiene un modelo de relacionamiento centrado en la propuesta de valor y la experiencia; su satisfacción, medida con el NPS, subió a 13 puntos en 2025 (figura 10). Cada centro tiene manuales de emergencia y realiza simulacros (52 en 2025), y PLAZA implementó la ISO/IEC 27001 en seguridad de la información.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diversidad, las mujeres son 53,2% de la fuerza laboral y ocupan 42% de los cargos directivos (figura 10), pero persiste una brecha salarial de género de 28% en promedio regional y el Directorio tiene una sola mujer entre 9 directores. La meta al 2028 es que 60% de los establecimientos estén certificados como espacios inclusivos, y PLAZA obtuvo el «Sello Mayor» en uno de sus centros, el primero de Chile, que certifica la adaptación física y operacional para personas mayores. Al expandirse, construir bajo esos parámetros evita costos futuros de adaptación y permite iniciar la transición de los centros existentes.</w:t>
      </w:r>
    </w:p>
    <w:p>
      <w:pPr>
        <w:keepNext/>
        <w:pBdr>
          <w:bottom w:val="single" w:color="E9004B" w:sz="8" w:space="1"/>
        </w:pBdr>
        <w:spacing w:after="50" w:before="110"/>
        <w:ind w:right="3766"/>
      </w:pPr>
      <w:r>
        <w:rPr>
          <w:rFonts w:ascii="Arial" w:cs="Arial" w:eastAsia="Arial" w:hAnsi="Arial"/>
          <w:b/>
          <w:bCs/>
          <w:color w:val="14284B"/>
          <w:sz w:val="16"/>
          <w:szCs w:val="16"/>
        </w:rPr>
        <w:t xml:space="preserve">GOBIERNO CORPORATIVO</w:t>
      </w:r>
    </w:p>
    <w:tbl>
      <w:tblPr>
        <w:tblpPr w:leftFromText="0" w:rightFromText="0" w:topFromText="0" w:bottomFromText="0" w:tblpX="7956" w:tblpY="180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keepNext w:val="false"/>
              <w:spacing w:after="20" w:before="0" w:line="240" w:lineRule="auto"/>
              <w:jc w:val="center"/>
            </w:pPr>
            <w:r>
              <w:drawing>
                <wp:inline distT="0" distB="0" distL="0" distR="0">
                  <wp:extent cx="180975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09750"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gobierno corporativo se rige por los principios del G20 y de la OCDE y está alineado con la NCG 461 de la CMF, con el fin de asegurar transparencia, control de riesgos y seguimiento de la estrategia y de los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el Directorio tiene 9 miembros y solo uno es independiente (menos de 50%), lo que genera riesgo de agencia (figura 11 y Anexo 8, figura 8.2) y es el único factor desfavorable de la matriz de riesgo ESG (Anexo 8, figura 8.5). Define objetivos, estrategia y políticas; el comité de directores (3 integrantes) revisa los estados financieros y mitiga los riesgos de agencia, y ambos supervisan la gestión de riesgos que dirigen el comité ejecutivo y el gerente general. En el segundo semestre de 2025 el gerente general Fernando de Peña Iver renunció con efecto al cierre del año, y en 2026 asumió Pablo Pulido Sierra. </w:t>
      </w:r>
      <w:r>
        <w:rPr>
          <w:rFonts w:ascii="Arial" w:cs="Arial" w:eastAsia="Arial" w:hAnsi="Arial"/>
          <w:b/>
          <w:bCs/>
          <w:i w:val="false"/>
          <w:iCs w:val="false"/>
          <w:color w:val="14284B"/>
          <w:sz w:val="16"/>
          <w:szCs w:val="16"/>
        </w:rPr>
        <w:t xml:space="preserve">Compensación ejecutiva: </w:t>
      </w:r>
      <w:r>
        <w:rPr>
          <w:rFonts w:ascii="Arial" w:cs="Arial" w:eastAsia="Arial" w:hAnsi="Arial"/>
          <w:i w:val="false"/>
          <w:iCs w:val="false"/>
          <w:color w:val="1A1A1A"/>
          <w:sz w:val="16"/>
          <w:szCs w:val="16"/>
        </w:rPr>
        <w:t xml:space="preserve">33,3% de la remuneración variable de los ejecutivos depende de KPIs ESG y 61% de métricas no financieras (figura 11), lo que alinea los incentivos con las metas ESG. </w:t>
      </w:r>
      <w:r>
        <w:rPr>
          <w:rFonts w:ascii="Arial" w:cs="Arial" w:eastAsia="Arial" w:hAnsi="Arial"/>
          <w:b/>
          <w:bCs/>
          <w:i w:val="false"/>
          <w:iCs w:val="false"/>
          <w:color w:val="14284B"/>
          <w:sz w:val="16"/>
          <w:szCs w:val="16"/>
        </w:rPr>
        <w:t xml:space="preserve">Accionistas: </w:t>
      </w:r>
      <w:r>
        <w:rPr>
          <w:rFonts w:ascii="Arial" w:cs="Arial" w:eastAsia="Arial" w:hAnsi="Arial"/>
          <w:i w:val="false"/>
          <w:iCs w:val="false"/>
          <w:color w:val="1A1A1A"/>
          <w:sz w:val="16"/>
          <w:szCs w:val="16"/>
        </w:rPr>
        <w:t xml:space="preserve">el control es concentrado: Falabella S.A., por medio de Desarrollos Inmobiliarios SpA, posee 53,1% de las acciones (Anexo 8, figura 8.1); los minoritarios con 1% pueden proponer candidatos a director, y la junta de accionistas elige al directorio y a los auditores externos y aprueba la política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código de integridad y el modelo de prevención del delito guían la conducta; PLAZA opera la plataforma Autocompliance (reuniones con funcionarios públicos, regalos e invitaciones) y un canal de integridad confidencial. En 2025 reportó casos de incumplimiento y denuncias a nivel regional, relacionados con trabajadores y clientes, pero ninguno de corrupción ni contra el desarrollo del mercado (Anexo 8, sección 3). El comité de directores supervisa una auditoría interna que le reporta cada mes y designa a los auditores externos y a las clasificadoras de riesgo. </w:t>
      </w:r>
      <w:r>
        <w:rPr>
          <w:rFonts w:ascii="Arial" w:cs="Arial" w:eastAsia="Arial" w:hAnsi="Arial"/>
          <w:b/>
          <w:bCs/>
          <w:i w:val="false"/>
          <w:iCs w:val="false"/>
          <w:color w:val="14284B"/>
          <w:sz w:val="16"/>
          <w:szCs w:val="16"/>
        </w:rPr>
        <w:t xml:space="preserve">Relevancia para la tesis: </w:t>
      </w:r>
      <w:r>
        <w:rPr>
          <w:rFonts w:ascii="Arial" w:cs="Arial" w:eastAsia="Arial" w:hAnsi="Arial"/>
          <w:i w:val="false"/>
          <w:iCs w:val="false"/>
          <w:color w:val="1A1A1A"/>
          <w:sz w:val="16"/>
          <w:szCs w:val="16"/>
        </w:rPr>
        <w:t xml:space="preserve">pesa el gobierno, no los ahorros ESG. Con Falabella como controlador, empresas relacionadas que aportan 15,7% de los ingresos y un directorio con un solo independiente, hay que verificar que la expansión, cuyo retorno es menor que su costo de capital, no beneficie más al controlador que al minoritario (ver Valuación y Riesgos, RR1).</w:t>
      </w:r>
    </w:p>
    <w:p>
      <w:pPr>
        <w:keepNext/>
        <w:pBdr>
          <w:bottom w:val="single" w:color="14284B" w:sz="18" w:space="2"/>
        </w:pBdr>
        <w:spacing w:after="80" w:before="120"/>
        <w:ind w:right="3766"/>
      </w:pPr>
      <w:r>
        <w:rPr>
          <w:rFonts w:ascii="Arial" w:cs="Arial" w:eastAsia="Arial" w:hAnsi="Arial"/>
          <w:b/>
          <w:bCs/>
          <w:color w:val="14284B"/>
          <w:sz w:val="30"/>
          <w:szCs w:val="30"/>
        </w:rPr>
        <w:t xml:space="preserve">ANÁLISIS FINANCIERO</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keepNext w:val="false"/>
        <w:spacing w:after="30" w:before="4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ROE sobre utilidad distribuible de 8–10% (no es el retorno del accionista); el reportado sigue a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660</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8,5</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bl>
    <w:p>
      <w:pPr>
        <w:keepNext w:val="false"/>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keepNext w:val="false"/>
        <w:spacing w:after="60"/>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keepNext w:val="false"/>
              <w:spacing w:after="20" w:before="0" w:line="240" w:lineRule="auto"/>
              <w:jc w:val="center"/>
            </w:pPr>
            <w:r>
              <w:drawing>
                <wp:inline distT="0" distB="0" distL="0" distR="0">
                  <wp:extent cx="191452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14525"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La utilidad reportada sigue al tasador; el FFO sigue al negocio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hoy Cenco Malls) elevó la utilidad atribuible a CLP 1.431 mil MM (2,2 veces los ingresos) y el ROE reportado a 37,5% (Figura 13). Cerca de dos tercios del alza de 29% del valor de las propiedades en Chile vino de una menor tasa de descuento real de la tasación (de 6,62% a 5,64%, Nota 11), no de un mayor NOI (Anexo 11C).</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las ganancias por valor razonable netas de impuesto diferido, la utilidad distribuible auditada fue CLP 369 mil MM y el ROE 9,7%; con el mismo ajuste que aplicamos a los pares sería 10,0%, el más alto de los tres (Anexo 14). El FFO, que reconstruimos desde los estados financieros con 0,02% de diferencia frente a los CLP 405 mil MM reportados (Figura 14), mantuvo un margen de 59–62% en 2022–2025, mientras la utilidad neta varió más de cuatro veces. El FFO excluye el reajuste UF de la deuda (CLP 44 mil MM, 11% del FFO); la utilidad distribuible lo incluye y es nuestra ancla conservadora de utilidades.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Descompuesto, el ROE normalizado de 2025 (9,7%) es un margen neto normalizado de 56,5% por una rotación de activos de 0,097x y un apalancamiento contable de 1,77x. No es el retorno del accionista: el denominador es un patrimonio a valor de tasación, y cada revalorización aumenta su valor contable sin generar flujos de caja, porque es una variación de valor razonable no monetaria que no entra al FFO ni a los dividendos. Por eso proyectamos un ROE normalizado de 8–9%, que solo sube con el apalancamiento.</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keepNext w:val="false"/>
              <w:spacing w:after="20" w:before="0" w:line="240" w:lineRule="auto"/>
              <w:jc w:val="center"/>
            </w:pPr>
            <w:r>
              <w:drawing>
                <wp:inline distT="0" distB="0" distL="0" distR="0">
                  <wp:extent cx="191452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14525" cy="13239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Fuente: Memoria Mallplaza 2025.</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Dos tercios del crecimiento de 2025 fueron comprados; el orgánico real es cerca de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subieron 76% entre 2022 y 2025, pero 21,8 pp del 32,2% de 2025 vinieron del perímetro: el portafolio peruano comprado a Falabella, consolidado desde el 4 de diciembre de 2024 (Anexo 11C). Sin Perú, los ingresos crecieron 10,7% en 2025 y 7,1% en 1S26.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Sin moneda ni inflación, el crecimiento nominal de 7,4% en 1S26 baja a ~3,0% real (Figura 15): Chile 2,8% (UF +3,1%), Perú 4,5% (ocupación 93,8%) y Colombia ~1% sin la apreciación del COP (7,5%) ni la inflación (6,1%).</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En nuestra lectura, el crecimiento depende más de los contratos que de las ventas: la renta variable es 5,1% de los ingresos de 1S26 y cayó 1,1% mientras las ventas de los locatarios subían 6,7%, porque las rentas mínimas (+5,5%) crecen más que las ventas (+3,7%). Tampoco es un bono: 15,1% del GLA vence antes de dos años, la solvencia de los locatarios importa y el crecimiento real converge a los puntos medios de la tasación (0,4–0,9% anual).</w:t>
      </w:r>
    </w:p>
    <w:p>
      <w:pPr>
        <w:keepNext/>
        <w:pBdr>
          <w:bottom w:val="single" w:color="E9004B" w:sz="8" w:space="1"/>
        </w:pBdr>
        <w:spacing w:after="50" w:before="110"/>
        <w:ind w:right="3766"/>
      </w:pPr>
      <w:r>
        <w:rPr>
          <w:rFonts w:ascii="Arial" w:cs="Arial" w:eastAsia="Arial" w:hAnsi="Arial"/>
          <w:b/>
          <w:bCs/>
          <w:color w:val="14284B"/>
          <w:sz w:val="16"/>
          <w:szCs w:val="16"/>
        </w:rPr>
        <w:t xml:space="preserve">El margen subió por mix y recuperación de gastos; el espacio adicional parece acotado</w:t>
      </w:r>
    </w:p>
    <w:tbl>
      <w:tblPr>
        <w:tblpPr w:leftFromText="0" w:rightFromText="0" w:topFromText="0" w:bottomFromText="0" w:tblpX="7956" w:tblpY="3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Sin revalorizaciones ni partidas no monetarias, CLP 1.441 mil MM de utilidad se vuelven CLP 408 mil MM de FFO (CLP mil MM)</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Celeste suma, rojo resta, azul = totales. Tras minoritarios (CLP 2,8 mil MM), el FFO atribuible es CLP 405,2 mil MM vs 405,3 reportado. Fuente: EEFF Plaza S.A. (CMF) 2025, Notas 13.1 y 23;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la extrapolamos.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costos operativos (costo de ventas más administración) fueron 20,1% de los ingresos en 2025 e incluyen la D&amp;A (0,55%): 20,1% − 0,55% = 19,5% = 1 − margen EBITDA (Anexo 11). Si fueran fijos, una caída de 1% de los ingresos restaría 1,24% al EBITDA (1,1% si la mitad fuera variable). En 1S26 el EBITDA creció 7,4%, en línea con los ingresos, y el margen se mantuvo en 79,7%. Los gastos de administración subieron 18,1% por remuneraciones (+18,9%: transición del gerente general y un año completo de Perú), incobrables que se normalizan desde una base 2025 favorecida por recuperaciones y un impuesto al patrimonio único en Colombia de CLP 1,7 mil MM. Sin estos dos últimos, el margen de 1S26 sería 80,4%.</w:t>
      </w:r>
    </w:p>
    <w:p>
      <w:pPr>
        <w:keepNext/>
        <w:pBdr>
          <w:bottom w:val="single" w:color="E9004B" w:sz="8" w:space="1"/>
        </w:pBdr>
        <w:spacing w:after="50" w:before="110"/>
        <w:ind w:right="3766"/>
      </w:pPr>
      <w:r>
        <w:rPr>
          <w:rFonts w:ascii="Arial" w:cs="Arial" w:eastAsia="Arial" w:hAnsi="Arial"/>
          <w:b/>
          <w:bCs/>
          <w:color w:val="14284B"/>
          <w:sz w:val="16"/>
          <w:szCs w:val="16"/>
        </w:rPr>
        <w:t xml:space="preserve">La caja cubre el dividendo 2,6x antes de deuda y 1,8x después de amortizarla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flujo operativo subió de CLP 301 mil MM en 2024 a CLP 441 mil MM en 2025. El impuesto pagado fue solo 15% del resultado operacional, protegido por goodwill tributario y pérdidas tributarias (Nota 13), y subirá hacia la tasa legal de 27%. Después de capex e intereses netos, el FCF antes de deuda fue CLP 280 mil MM y cubrió los dividendos 2,6x (Figura 16); 1,8x tras amortizar deuda neta (Anexo 10D).</w:t>
      </w:r>
    </w:p>
    <w:tbl>
      <w:tblPr>
        <w:tblpPr w:leftFromText="0" w:rightFromText="0" w:topFromText="0" w:bottomFromText="0" w:tblpX="7956" w:tblpY="3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Dos tercios del crecimiento 2025 fueron comprados; en 1S26 la moneda y la inflación explican más de la mitad</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alza de CLP 71,9 mil MM (+38,6%) del flujo operativo de 1S26 viene en 78% de mayores cobros (en parte saldos de diciembre: días de cobro de 66 a 50) y en 15% de menores impuestos pagados; no la extrapolamos.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política de dividendos reparte 40% de la utilidad distribuible con un año de rezago y el covenant (DFN/patrimonio ≤ 2,0x; 0,26x a junio) no la restringe: la caja retenida fue CLP 171,6 mil MM en 2025. En el caso base, el FFO sube de CLP 428,5 mil MM en 2026E a 512,6 mil MM en 2031E y los dividendos ordinarios de CLP 147,7 a 176,5 mil MM; la caja restante, junto con la deuda nueva, financia el capex y las distribuciones adicionales (Anexo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579 MM restantes del pipeline con fecha en 2026–2028 (incluye USD 134 MM de otros proyectos en Chile) y luego agrega cerca de 27.000 m² al año, el ritmo orgánico de 2022–2025: el capex total se estabiliza cerca de 16% de los ingresos, 5,5% de mantención y ~11% incremental (Figura 19).</w:t>
      </w:r>
    </w:p>
    <w:p>
      <w:pPr>
        <w:keepNext/>
        <w:pBdr>
          <w:bottom w:val="single" w:color="E9004B" w:sz="8" w:space="1"/>
        </w:pBdr>
        <w:spacing w:after="50" w:before="110"/>
        <w:ind w:right="3766"/>
      </w:pPr>
      <w:r>
        <w:rPr>
          <w:rFonts w:ascii="Arial" w:cs="Arial" w:eastAsia="Arial" w:hAnsi="Arial"/>
          <w:b/>
          <w:bCs/>
          <w:color w:val="14284B"/>
          <w:sz w:val="16"/>
          <w:szCs w:val="16"/>
        </w:rPr>
        <w:t xml:space="preserve">Los indicadores de flujo justifican el AAA; los ratios contables lo exageran</w:t>
      </w:r>
    </w:p>
    <w:tbl>
      <w:tblPr>
        <w:tblpPr w:leftFromText="0" w:rightFromText="0" w:topFromText="0" w:bottomFromText="0" w:tblpX="7956" w:tblpY="54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El flujo de caja libre cubre los dividendos 1,5–2,6x aun con más capex (2025, CLP mil MM)</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LTV bajó de 26,9% a 18,8% en 2025, pero 5,0 pp de la caída de 8,0 pp vinieron de revalorizar el denominador; con las propiedades al valor de 2024 más las adiciones, el LTV habría sido 23,8% (Figura 17). Los indicadores de flujo respaldan el alza de la calificación local de Feller Rate a AAA (25 de septiembre de 2026), pero de la baja de la DFN/EBITDA de 3,78x a 2,36x, 0,75x es perímetro (Perú consolidó un mes en 2024; pro forma ≥ 3,0x), 0,39x crecimiento del EBITDA y solo 0,28x menor deuda (Anexo 11B). El EBITDA cubre 8,4x los costos financieros.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deuda bruta de CLP 1.633 mil MM está 79% en UF, 14% en PEN y 7% en COP, en línea con las monedas de los ingresos; el 95% es de largo plazo, con una duración de 6,6 años. Los bonos en UF vigentes pagan un cupón real de 3,36% (3,48% efectivo); con el reajuste UF el costo nominal en CLP fue cercano a 7% en 2025. Los vencimientos se concentran en 2029, 2031 y 2033 (Figura 18); refinanciar la serie S (1,32% efectivo) a la tasa real efectiva de la última emisión (4,33%) sumaría cerca de CLP 4,9 mil MM al año.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tbl>
      <w:tblPr>
        <w:tblpPr w:leftFromText="0" w:rightFromText="0" w:topFromText="0" w:bottomFromText="0" w:tblpX="7956" w:tblpY="65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Tras el pipeline, el capex incremental de la expansión continua mantiene el capex total cerca de CLP 150 mil MM al año; la DFN/EBITDA sube a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incluye CLP 84,2 mil MM de 1S26 (sin apertura por tipo). Mantención + TI = 5,5% de los ingresos; incremental = pipeline en curso + expansión continua. 2024A: un mes de EBITDA de Perú. Fuente: EEFF (CMF); release 2T26; modelo v4 (Anexo 15).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1,7 billones acumulados en 2S26E–2031E (Anexo 13). Con 3,5x, la nueva calificación AAA probablemente quedaría bajo presión.</w:t>
      </w:r>
    </w:p>
    <w:p>
      <w:pPr>
        <w:keepNext/>
        <w:pBdr>
          <w:bottom w:val="single" w:color="E9004B" w:sz="8" w:space="1"/>
        </w:pBdr>
        <w:spacing w:after="50" w:before="110"/>
        <w:ind w:right="3766"/>
      </w:pPr>
      <w:r>
        <w:rPr>
          <w:rFonts w:ascii="Arial" w:cs="Arial" w:eastAsia="Arial" w:hAnsi="Arial"/>
          <w:b/>
          <w:bCs/>
          <w:color w:val="14284B"/>
          <w:sz w:val="16"/>
          <w:szCs w:val="16"/>
        </w:rPr>
        <w:t xml:space="preserve">El forecast proyecta lo que respalda la historia, incluido el ritmo de expansión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Los ingresos crecen en CLP nominales 7,7% en 2026E y 5,0% en 2031E (CAGR 2026E–2031E de 6,9%), a medida que el crecimiento real en mismas tiendas converge a los puntos medios de la tasación, maduran los 170.200 m² del pipeline con fecha (incluidos 46.500 m² de otros proyectos en Chile que abren en 2028) y, desde 2029E, abren cerca de 27.000 m² al año al ritmo histórico (Figura 19); los ingresos 2026E quedan 0,3% sobre el consenso BEst de 13 analistas (Anexo 11C). El margen EBITDA se mantiene en 79,7–79,8%, bajo el máximo de 2025. El impuesto en caja (tasa de Chile) se normaliza de 16,8% a 27% hacia 2030E y los costos financieros suben con el apalancamiento, por lo que el margen FFO baja de 60,9% a 52,2%. El capital de trabajo se mantiene en 15,6% de los ingresos, el nivel de diciembre de 2025 (Anexo 9). El GLA nuevo rinde 7,3% real antes de impuestos sobre su costo y 5,3% real después de impuestos (RONIC), frente a una WACC real de 7,2%: la expansión suma ingresos, pero no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esto significa para la valoración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Tres conclusiones para el modelo. Primero, la base correcta es la caja: usamos el EBITDA que elimina una sola vez la revalorización (Anexo 12) y la utilidad distribuible como ancla, no la utilidad contable de CLP 1.431 mil MM. Segundo, la calidad no está en duda: con el mismo ajuste para los tres, Mallplaza tiene el ROE normalizado más alto de sus pares locales (10,0% frente a 7,8% de Parque Arauco y 8,0% de Cencosud Shopping) con un LTV de 18,8% (Anexo 14).</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Dos tercios de la caída del LTV en 2025 son revalorización, no desapalancamiento</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Tercero, el capital existente apenas rinde su costo. El ROIC de 2025 (NOPAT al 27% sobre el capital a valor de tasación, sin revalorización; Anexo 11) fue 7,3%, comparable con la WACC real de 7,2% (no con la nominal) porque excluye la revalorización. El capital nuevo rinde menos que su costo (RONIC real de 5,3%). Al precio actual, el FFO 2026E de CLP 428,5 mil MM rinde 5,5% nominal sobre el valor de mercado (18x FFO) y la utilidad distribuible 4,9%: el mercado paga por estos flujos como si fueran casi libres de riesgo. Esa brecha de tasa es la que cuantifica Valuación.</w:t>
      </w:r>
    </w:p>
    <w:p>
      <w:pPr>
        <w:keepNext/>
        <w:pBdr>
          <w:bottom w:val="single" w:color="14284B" w:sz="18" w:space="2"/>
        </w:pBdr>
        <w:spacing w:after="80" w:before="120"/>
        <w:ind w:right="3766"/>
      </w:pPr>
      <w:r>
        <w:rPr>
          <w:rFonts w:ascii="Arial" w:cs="Arial" w:eastAsia="Arial" w:hAnsi="Arial"/>
          <w:b/>
          <w:bCs/>
          <w:color w:val="14284B"/>
          <w:sz w:val="30"/>
          <w:szCs w:val="30"/>
        </w:rPr>
        <w:t xml:space="preserve">VALUACIÓN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Recomendamos VENDER Mallplaza con un precio objetivo de CLP 2.077 por acción, 41,6% bajo el cierre de CLP 3.555 del 30-sep-26 (−39,6% de retorno total con dividendos). Nuestro precio objetivo queda incluso bajo el mínimo de las últimas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UN PRECIO QUE NINGUNO DE NUESTROS MÉTODOS ALCANZA</w:t>
      </w:r>
    </w:p>
    <w:tbl>
      <w:tblPr>
        <w:tblpPr w:leftFromText="0" w:rightFromText="0" w:topFromText="0" w:bottomFromText="0" w:tblpX="7956" w:tblpY="50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El riesgo de refinanciamiento está en 2029, 2031 y 2033, no en el corto plazo</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doce meses la acción subió de CLP 2.470 a 4.700 y hoy cotiza en CLP 3.555. Ninguno de nuestros métodos llega a ese precio: el DCF va de CLP 1.391 a 2.329 aun moviendo la WACC nominal ±100 pb y el g nominal entre 2,5% y 4,0%, y las medianas de múltiplos tampoco lo alcanzan (Figura 20). Damos 80% del peso al DCF porque el valor de Mallplaza proviene de flujos contractuales: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que valora la empresa sin deuda y suma aparte los escudos fiscales, da CLP 1.895, apenas 2% sobre el DCF: el resultado no depende de cómo modelamos el financiamiento. Los múltiplos van de CLP 2.152 (mediana del set común) a 3.294 (mediana chilena), y el EV/EBITDA NTM y el EV/EBIT quedan entre CLP 2.914 y 3.098. Todo cae a la izquierda del precio; solo lo alcanzan el propio rango de cotización del último año y, entre los múltiplos individuales, el de Parque Arauco, que no usamos solo (más abajo). Incluso la mediana chilena de múltiplos, el escenario más favorable para la acción, queda 7% bajo el precio.</w:t>
      </w:r>
    </w:p>
    <w:p>
      <w:pPr>
        <w:keepNext/>
        <w:pBdr>
          <w:bottom w:val="single" w:color="E9004B" w:sz="8" w:space="1"/>
        </w:pBdr>
        <w:spacing w:after="50" w:before="110"/>
        <w:ind w:right="3766"/>
      </w:pPr>
      <w:r>
        <w:rPr>
          <w:rFonts w:ascii="Arial" w:cs="Arial" w:eastAsia="Arial" w:hAnsi="Arial"/>
          <w:b/>
          <w:bCs/>
          <w:color w:val="14284B"/>
          <w:sz w:val="16"/>
          <w:szCs w:val="16"/>
        </w:rPr>
        <w:t xml:space="preserve">LA HISTORIA ESTÁ EN LA TASA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Proyectamos el flujo de caja libre de la firma (FCFF) en CLP nominales desde el 30-jun-26, con horizonte explícito hasta 2031E y un valor terminal que explica el 78% del EV (Anexo 15). Los CLP 1.859 por acción son CLP 543 de flujos explícitos y CLP 1.926 de valor terminal, menos CLP 610 de deuda neta y minoritarios: el resultado depende, sobre todo, de la tasa de descuento.</w:t>
      </w:r>
    </w:p>
    <w:tbl>
      <w:tblPr>
        <w:tblpPr w:leftFromText="0" w:rightFromText="0" w:topFromText="0" w:bottomFromText="0" w:tblpX="7956" w:tblpY="12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Ninguno de nuestros métodos justifica el precio actual (CLP por acción)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Rango de 52 semanas intradía (01-10-25 a 30-09-26; mínimo 10-10-25, máximo 27-04-26). Fuente: análisis del equipo;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1,46 billones) financia todo el capex mientras la caja operativa se distribuye a los accionistas. Así, la WACC nominal pasa de 10,54% en 2S26E a 10,41% en el terminal (7,32% y 7,20% reales): un Ke nominal de 11,93% (8,67% real; Rf de 4,98% en USD, beta re-apalancada de 1,14 desde una mediana desapalancada de seis pares de 0,94, ERP 4,14% y CRP de 1,41% ponderado por ingresos) y un Kd nominal de 5,11% después de impuestos, basado en el cupón real de 3,6% (UF) de la última emisión (Anexo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(1,09 en 2S26E, 1,14 en el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primera señal es la TIR del activo (la firma): la tasa única que iguala el FCFF y el valor terminal al valor de empresa que paga el mercado a CLP 3.555 (EV de CLP 9,12 billones). Es 7,61% nominal (4,48% real en UF), 280 pb bajo la WACC nominal (272 pb en términos reales) y apenas ~88 pb reales sobre el costo real de su deuda (Figura 21).</w:t>
      </w:r>
    </w:p>
    <w:p>
      <w:pPr>
        <w:keepNext w:val="false"/>
        <w:spacing w:after="30" w:before="60"/>
      </w:pPr>
      <w:r>
        <w:rPr>
          <w:rFonts w:ascii="Arial" w:cs="Arial" w:eastAsia="Arial" w:hAnsi="Arial"/>
          <w:b/>
          <w:bCs/>
          <w:color w:val="14284B"/>
          <w:sz w:val="15"/>
          <w:szCs w:val="15"/>
        </w:rPr>
        <w:t xml:space="preserve">TIR del activo (firma) y del proyecto nuevo frente a la WACC: nominal CLP y real (UF)</w:t>
      </w:r>
    </w:p>
    <w:tbl>
      <w:tblPr>
        <w:tblW w:type="dxa" w:w="11503"/>
        <w:tblBorders>
          <w:top w:val="none" w:color="FFFFFF" w:sz="0"/>
          <w:left w:val="none" w:color="FFFFFF" w:sz="0"/>
          <w:bottom w:val="none" w:color="FFFFFF" w:sz="0"/>
          <w:right w:val="none" w:color="FFFFFF" w:sz="0"/>
          <w:insideH w:val="none" w:color="FFFFFF" w:sz="0"/>
          <w:insideV w:val="none" w:color="FFFFFF" w:sz="0"/>
        </w:tblBorders>
      </w:tblPr>
      <w:tblGrid>
        <w:gridCol w:w="3835"/>
        <w:gridCol w:w="1233"/>
        <w:gridCol w:w="1067"/>
        <w:gridCol w:w="3001"/>
        <w:gridCol w:w="2367"/>
      </w:tblGrid>
      <w:tr>
        <w:trPr>
          <w:tblHeader/>
        </w:trPr>
        <w:tc>
          <w:tcPr>
            <w:tcW w:type="dxa" w:w="383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Compra al precio de</w:t>
            </w:r>
          </w:p>
        </w:tc>
        <w:tc>
          <w:tcPr>
            <w:tcW w:type="dxa" w:w="1233"/>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Nominal</w:t>
            </w:r>
          </w:p>
        </w:tc>
        <w:tc>
          <w:tcPr>
            <w:tcW w:type="dxa" w:w="10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Real</w:t>
            </w:r>
          </w:p>
        </w:tc>
        <w:tc>
          <w:tcPr>
            <w:tcW w:type="dxa" w:w="3001"/>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WACC nom./real</w:t>
            </w:r>
          </w:p>
        </w:tc>
        <w:tc>
          <w:tcPr>
            <w:tcW w:type="dxa" w:w="23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Brecha nom./real</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Mercado: CLP 3.555</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4,48%</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−280 / −272 pb</w:t>
            </w:r>
          </w:p>
        </w:tc>
      </w:tr>
      <w:tr>
        <w:trPr>
          <w:cantSplit w:val="false"/>
        </w:trPr>
        <w:tc>
          <w:tcPr>
            <w:tcW w:type="dxa" w:w="383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Nuestro objetivo: CLP 2.077</w:t>
            </w:r>
          </w:p>
        </w:tc>
        <w:tc>
          <w:tcPr>
            <w:tcW w:type="dxa" w:w="1233"/>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9,88%</w:t>
            </w:r>
          </w:p>
        </w:tc>
        <w:tc>
          <w:tcPr>
            <w:tcW w:type="dxa" w:w="10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6,68%</w:t>
            </w:r>
          </w:p>
        </w:tc>
        <w:tc>
          <w:tcPr>
            <w:tcW w:type="dxa" w:w="3001"/>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−53 / −51 pb</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Nuestro DCF: CLP 1.859</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10,43%</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7,21%</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 / +2 pb</w:t>
            </w:r>
          </w:p>
        </w:tc>
      </w:tr>
      <w:tr>
        <w:trPr>
          <w:cantSplit w:val="false"/>
        </w:trPr>
        <w:tc>
          <w:tcPr>
            <w:tcW w:type="dxa" w:w="383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Proyecto nuevo: 1 m² (cohorte)</w:t>
            </w:r>
          </w:p>
        </w:tc>
        <w:tc>
          <w:tcPr>
            <w:tcW w:type="dxa" w:w="1233"/>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7,98%</w:t>
            </w:r>
          </w:p>
        </w:tc>
        <w:tc>
          <w:tcPr>
            <w:tcW w:type="dxa" w:w="10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4,84%</w:t>
            </w:r>
          </w:p>
        </w:tc>
        <w:tc>
          <w:tcPr>
            <w:tcW w:type="dxa" w:w="3001"/>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−243 / −236 pb</w:t>
            </w:r>
          </w:p>
        </w:tc>
      </w:tr>
    </w:tbl>
    <w:p>
      <w:pPr>
        <w:keepNext w:val="false"/>
        <w:spacing w:after="60" w:before="20"/>
      </w:pPr>
      <w:r>
        <w:rPr>
          <w:rFonts w:ascii="Arial" w:cs="Arial" w:eastAsia="Arial" w:hAnsi="Arial"/>
          <w:color w:val="5F5F5F"/>
          <w:sz w:val="12"/>
          <w:szCs w:val="12"/>
        </w:rPr>
        <w:t xml:space="preserve">TIR del activo: tasa única que iguala el FCFF y el valor terminal al valor de empresa pagado; al valor DCF coincide con la WACC. Proyecto nuevo: flujo de 1 m² con el costo, la rampa y el margen de la expansión, mantención y capital de trabajo. Real = (1 + nom.) / (1 + 3,0%) − 1. La WACC implícita de la Figura 27 (7,60%) desplaza toda la curva de WACC y la TIR de tasa única es 7,61%: dos lecturas de la misma idea. Fuente: modelo v4, hojas TIR_Implicita y TIR_Proyecto.</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A CLP 3.555 la firma rinde casi lo mismo que su deuda (tasas reales, UF)</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Tasas reales en UF. Fuente: BCCh (30-06-26); Mallplaza;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CRECER NO RESCATA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es que seamos pesimistas con la operación. Proyectamos un margen EBITDA de 79,7% en 2026E (sin revalorizaciones, bajo el 80,5% UDM), un impuesto en caja que converge de 16,8% a 27% en 2030, el pipeline completo con fecha de la compañía (170.200 m² y USD 613 MM, incluidos 46.500 m² de «otros proyectos» en Chile que abren en 2028) y, desde 2029, 27.075 m² nuevos al año, el ritmo orgánico histórico. El consenso BEst de 13 analistas espera un EBITDA a 12 meses apenas ~3% sobre el nuestro: la diferencia con el mercado no está en los flujos.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capex sigue el plan de la compañía y se separa en mantención y TI (5,5% de los ingresos, CLP 42–53 mil MM al año) y capex incremental: el pipeline en curso (CLP 534 mil MM en 2S26E–2028E) y la expansión continua (CLP 95–104 mil MM al año desde 2028, a USD 3.603 por m² y con una rampa de ingresos de 35%, 90% y 100%). El capex total llega a un máximo de CLP 336 mil MM en 2027E y se estabiliza cerca de 16% de los ingresos desde 2029E (Figura 19). El capital de trabajo (15,6% de los ingresos) exige CLP 7,3–9,9 mil MM al año y, si fuera cero, el objetivo subiría solo 1,3% (Figura 22: cascada de supuestos fuertes, distinta del escenario bull; Anexo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62 por acción sin descontar; sin él el objetivo baja 2,1% (Figura 22). Y el capital de trabajo crece con los ingresos, no con los m² nuevos.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Precio y ventas. En un operador de arriendos el precio es el arriendo por m², y las ventas de los locatarios llegan al ingreso solo por la renta variable (5,7% de los ingresos UDM). Por eso 1 pp más de crecimiento nominal del arriendo en mismas tiendas en 2027–28 agrega CLP 45 al valor DCF por acción, 18 veces lo que agrega 1 pp más de crecimiento de las ventas de los locatarios (CLP 2,6); 1 pp más de crecimiento real del arriendo en 2029–31 agrega CLP 57. Una mejora de precios puede traducirse en mayores ventas y renta variable cuando la ocupación y el tráfico la sostienen, así que en el escenario bull movemos ambas palancas a la vez (arriendo +9,4%, ventas +9,9%): aun así el precio objetivo queda 18% bajo el precio.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problema es el retorno de crecer. Cada m² nuevo rinde 7,3% real antes de impuestos sobre su costo (mix de la expansión: 67% Chile, 33% Perú), un RONIC real de 5,3% después de impuestos, bajo una WACC real de 7,2%. La TIR de un m² nuevo, con capex, rampa, mantención y capital de trabajo, es 4,84% real (7,98% nominal): 236 pb bajo la WACC real y 243 pb bajo la nominal; para igualarla, el ingreso por m² tendría que ser 1,54 veces el del modelo. La expansión suma ingresos, pero no valor: por eso el valor terminal crece solo con la inflación (g de 3,0% nominal, 0% real) y un g mayor reduce el valor (Figura 23). Suponer más crecimiento no cerraría la brecha con el precio; la agrandaría. Por eso el horizonte explícito incluye el capex y la maduración de los proyectos que abren hasta 2032 (108.301 m² maduran en el año terminal), pero desde ahí el capex incremental terminal es cero y solo queda la mantención.</w:t>
      </w:r>
    </w:p>
    <w:tbl>
      <w:tblPr>
        <w:tblpPr w:leftFromText="0" w:rightFromText="0" w:topFromText="0" w:bottomFromText="0" w:tblpX="7956" w:tblpY="-11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Con todos los supuestos fuertes a favor el objetivo llega a CLP 2.977, aún 16% bajo el precio</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Cascada acumulada en el orden mostrado; la tabla da el efecto de cada supuesto solo. Precio objetivo = 80% DCF + 20% múltiplos. Fuente: réplica del DCF v4;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¿POR QUÉ EXPANDIRSE SI NO CREA VALOR?</w:t>
      </w:r>
    </w:p>
    <w:tbl>
      <w:tblPr>
        <w:tblpPr w:leftFromText="0" w:rightFromText="0" w:topFromText="0" w:bottomFromText="0" w:tblpX="7956" w:tblpY="150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Crecer bajo la WACC destruye valor: g real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Arriba: valor DCF según g nominal. Abajo: valor terminal relativo según el RONIC.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Si crecer rinde menos que el costo de capital, ¿qué empuja a la administración a seguir? Planteamos cuatro hipótesis, por verificar con la memoria y los EEFF. Primero, contabilidad frente a economía: la deuda en UF (79% del total) cuesta ~3,6% real, bajo lo que rinde un activo nuevo, así que cada proyecto financiado con deuda mejora FFO, EBITDA y utilidad aunque no cubra el retorno exigido al capital total. Segundo, la revalorización: bajo NIC 40 las tasaciones usan tasas de descuento reales de 5,5–6,4%, menores que la WACC real, y cada activo nuevo se tasa sobre su costo y genera utilidad contable. Tercero, el controlador: si el grupo (Falabella, por confirmar) tiene tiendas ancla u otros negocios en esos malls, un m² nuevo le sirve al grupo aunque a Plaza le rinda poco, un conflicto de agencia con los minoritarios (por verificar en las notas de partes relacionadas). Cuarto, la compensación: si los bonos dependen del GLA o del EBITDA y no del ROIC, expandirse es racional para la gerencia (por verificar). Hay razones estratégicas defendibles (suelo escaso, ventajas de red); es un riesgo de asignación de capital, no una contradicción con un buen negocio. El punto de equilibrio de la expansión es una WACC real de 5,3% (8,5% nominal); la WACC implícita en el precio (7,60% nominal, 4,5% real) queda bajo ese nivel: si el mercado tuviera razón, expandir crearía valor.</w:t>
      </w:r>
    </w:p>
    <w:p>
      <w:pPr>
        <w:keepNext/>
        <w:pBdr>
          <w:bottom w:val="single" w:color="E9004B" w:sz="8" w:space="1"/>
        </w:pBdr>
        <w:spacing w:after="50" w:before="110"/>
        <w:ind w:right="3766"/>
      </w:pPr>
      <w:r>
        <w:rPr>
          <w:rFonts w:ascii="Arial" w:cs="Arial" w:eastAsia="Arial" w:hAnsi="Arial"/>
          <w:b/>
          <w:bCs/>
          <w:color w:val="14284B"/>
          <w:sz w:val="16"/>
          <w:szCs w:val="16"/>
        </w:rPr>
        <w:t xml:space="preserve">LOS PARES CONFIRMAN LA DIRECCIÓN, NO LA MAGNITUD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24). Por eso ponderamos 70% la mediana chilena y 30% la del set común (que incluye IRSA; excluimos Fibra Danhos por su régimen FIBRA): 14,4x, que lleva a CLP 2.951 por acción. La ponderación pesa poco: entre 0% y 100% Chile, el precio objetivo solo va de CLP 1.916 a 2.144 (Anexo 17).</w:t>
      </w:r>
    </w:p>
    <w:tbl>
      <w:tblPr>
        <w:tblpPr w:leftFromText="0" w:rightFromText="0" w:topFromText="0" w:bottomFromText="0" w:tblpX="7956" w:tblpY="33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Chile y Brasil cobran la misma prima: los múltiplos difieren por las tasas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Bono real: UF 10 años (BCCh) y NTN-B 2035 (8,08%) al 30-06-26. Spread = cap rate (1 / EV/EBITDA) − bono real. IRSA se omite (NIC 29). Fuente: Bloomberg; BCCh;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Elegimos el set con el criterio de la beta: IRSA con cautela (reporta bajo NIC 29; un solo analista en el NTM) y sin Fibra Danhos (FIBRA: reparte 95% del resultado fiscal; sin beta en la WACC). Usamos EV/EBITDA, neutral al apalancamiento y a la revalorización (NIC 40), con la deuda neta de Bloomberg (CLP 1.311.569 MM para Mallplaza; la diferencia con los CLP 1.285.740 MM del DCF son CLP 25.828 MM de arrendamientos NIIF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Tampoco la calidad justifica la prima. Mallplaza transa 29% sobre Cenco Malls (Cencosud Shopping en los modelos), pero su EBITDA por m² es solo 1,8% mayor (ver Industria); solo al múltiplo de Parque Arauco (18,4x), que opera con 5,7x de deuda, valdría más que su precio. Todos los múltiplos, del EV/EBITDA NTM (CLP 2.914) al P/BV (CLP 3.171), quedan bajo el precio (Figura 25): confirman que la acción está cara, y la magnitud la da el DCF. Excluimos el P/E (CLP 8.644), distorsionado por la revalorización de propiedades. En precios: mediana chilena CLP 3.294 (−7%), Cenco Malls CLP 2.621 y solo Parque Arauco CLP 3.967. Defender CLP 3.555 con múltiplos exige suponer que Mallplaza merece la valoración del par más apalancado del grupo.</w:t>
      </w:r>
    </w:p>
    <w:p>
      <w:pPr>
        <w:keepNext/>
        <w:pBdr>
          <w:bottom w:val="single" w:color="E9004B" w:sz="8" w:space="1"/>
        </w:pBdr>
        <w:spacing w:after="50" w:before="110"/>
        <w:ind w:right="3766"/>
      </w:pPr>
      <w:r>
        <w:rPr>
          <w:rFonts w:ascii="Arial" w:cs="Arial" w:eastAsia="Arial" w:hAnsi="Arial"/>
          <w:b/>
          <w:bCs/>
          <w:color w:val="14284B"/>
          <w:sz w:val="16"/>
          <w:szCs w:val="16"/>
        </w:rPr>
        <w:t xml:space="preserve">LO QUE EL MERCADO TENDRÍA QUE CREER</w:t>
      </w:r>
    </w:p>
    <w:tbl>
      <w:tblPr>
        <w:tblpPr w:leftFromText="0" w:rightFromText="0" w:topFromText="0" w:bottomFromText="0" w:tblpX="7956" w:tblpY="54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Valor implícito por múltiplo de cada par vs DCF y precio (CLP por acción)</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 objetivo = 80% DCF + 20% EV/EBITDA UDM. P/E excluido (incluye revalorización). Fuente: Bloomberg (30-09-26);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precio implica un EV de CLP 9,12 billones, 69% sobre el nuestro, y un cap rate real de 6,0% (EBITDA UDM / EV, comparable con tasas reales porque las rentas se reajustan por UF), frente a 10,1% en nuestro DCF, 6,4% en los pares chilenos y 7,5% a valor libro (Figura 26). El mercado paga 1,61 veces un patrimonio que ya está a valor razonable, tasado con una tasa de descuento real de ~5,55% (Nota 11); la TIR real que deja el precio, 4,5%, queda bajo esa tasa: paga más que los propios tasadores. Para justificar CLP 3.555 la WACC nominal tendría que ser 281 pb menor (7,60%, 4,5% real; Figura 27); incluso con la tasa de los tasadores (5,55% real, 8,72% nominal), el DCF sería CLP 2.679. (La WACC implícita desplaza toda la curva de WACC; la TIR de tasa única, 7,61%, es la misma idea y también da CLP 3.555.)</w:t>
      </w:r>
    </w:p>
    <w:p>
      <w:pPr>
        <w:keepNext/>
        <w:pBdr>
          <w:bottom w:val="single" w:color="E9004B" w:sz="8" w:space="1"/>
        </w:pBdr>
        <w:spacing w:after="50" w:before="110"/>
        <w:ind w:right="3766"/>
      </w:pPr>
      <w:r>
        <w:rPr>
          <w:rFonts w:ascii="Arial" w:cs="Arial" w:eastAsia="Arial" w:hAnsi="Arial"/>
          <w:b/>
          <w:bCs/>
          <w:color w:val="14284B"/>
          <w:sz w:val="16"/>
          <w:szCs w:val="16"/>
        </w:rPr>
        <w:t xml:space="preserve">POR QUÉ EL MERCADO PAGA CLP 3.555</w:t>
      </w:r>
    </w:p>
    <w:tbl>
      <w:tblPr>
        <w:tblpPr w:leftFromText="0" w:rightFromText="0" w:topFromText="0" w:bottomFromText="0" w:tblpX="7956" w:tblpY="153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mercado paga 6,0%; nuestros flujos valen 10,1% (cap rate real)</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Cap rate = EBITDA UDM / EV, comparable con tasas reales (rentas en UF). Gran Plaza: hecho posterior, no entra al modelo. Fuente: Mallplaza; Bloomberg; DF;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En los últimos doce meses la acción pasó de un mínimo de CLP 2.470 (10-oct-25) a un máximo de CLP 4.700 (27-abr-26), un alza de ~90% en seis meses y medio que el negocio no explica: el EBITDA creció 5–10% anual. El impulso fue externo. La bolsa chilena subió 56% en 2025, con un cambio de gobierno y expectativas de menores impuestos, y las acciones de malls rindieron ~48% (LarrainVial) y se revalorizaron en conjunto. La inclusión en el MSCI EM Mid Cap (25-nov-25) obligó a fondos pasivos a comprar ~USD 110 MM, unas 15 veces el volumen diario (Morgan Stanley). Y los analistas extrapolaron crecimiento: JPMorgan proyecta un FFO que crece ~11% anual hasta 2028, el doble de nuestro ~6% (2026E–2028E). La caída a CLP 3.555 (−24% desde el máximo) coincide con resultados bajo lo esperado (EBITDA +5,2% en 1T26), el recorte del objetivo de JPMorgan y el alza del UST a 10 años (5,22% al 8-oct-26). Es una corrección parcial: a ese precio la acción cotiza 91% sobre el DCF, 33% sobre el valor con la tasa de los tasadores (CLP 2.679) y a 1,61x su valor libro. Las cifras atribuidas a analistas y los precios de los hitos provienen de los documentos del equipo (Figura 32).</w:t>
      </w:r>
    </w:p>
    <w:p>
      <w:pPr>
        <w:keepNext/>
        <w:pBdr>
          <w:bottom w:val="single" w:color="E9004B" w:sz="8" w:space="1"/>
        </w:pBdr>
        <w:spacing w:after="50" w:before="110"/>
        <w:ind w:right="3766"/>
      </w:pPr>
      <w:r>
        <w:rPr>
          <w:rFonts w:ascii="Arial" w:cs="Arial" w:eastAsia="Arial" w:hAnsi="Arial"/>
          <w:b/>
          <w:bCs/>
          <w:color w:val="14284B"/>
          <w:sz w:val="16"/>
          <w:szCs w:val="16"/>
        </w:rPr>
        <w:t xml:space="preserve">NUESTRO VALOR FRENTE AL CONSENSO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Bloomberg muestra 14 fuentes con una recomendación promedio de 2,85 (escala de 1 a 5; 1 comprar, 10 mantener, 2 vender) y un precio objetivo a 12 meses de CLP 4.111, 49,5% sobre el nuestro; el más bajo es el de Goldman Sachs (vender, CLP 3.377) y el rango va de 3.377 a 4.600. Cuatro razones explican la brecha (Figura 34). La tasa es la principal: el precio exige una WACC nominal de 7,60%, 281 pb bajo nuestro 10,41%, y como el valor terminal es 78% del EV, cada punto de tasa pesa mucho. Los múltiplos tampoco llegan: el 20% en múltiplos da CLP 2.951, 17% bajo el precio, así que no todo es WACC. El horizonte también cuenta: los objetivos son a 12 meses y el nuestro es al 30-jun-26; a nuestro Ke nominal de 11,93%, CLP 4.111 equivalen a ~CLP 3.673 hoy, de modo que la brecha se reduce, pero no se cierra. Y el crecimiento: si crecer rinde menos que la WACC, nuestro modelo lo castiga, mientras el mercado probablemente lo valora con un retorno cercano al cap rate. Los objetivos siguieron al precio (la acción subió 39% en los 12 meses a septiembre de 2026) y no conocemos sus supuestos, solo sus objetivos.</w:t>
      </w:r>
    </w:p>
    <w:p>
      <w:pPr>
        <w:keepNext/>
        <w:pBdr>
          <w:bottom w:val="single" w:color="E9004B" w:sz="8" w:space="1"/>
        </w:pBdr>
        <w:spacing w:after="50" w:before="110"/>
        <w:ind w:right="3766"/>
      </w:pPr>
      <w:r>
        <w:rPr>
          <w:rFonts w:ascii="Arial" w:cs="Arial" w:eastAsia="Arial" w:hAnsi="Arial"/>
          <w:b/>
          <w:bCs/>
          <w:color w:val="14284B"/>
          <w:sz w:val="16"/>
          <w:szCs w:val="16"/>
        </w:rPr>
        <w:t xml:space="preserve">ESCENARIOS: LO QUE TENDRÍA QUE PASAR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Llevamos la tesis a sus extremos con tres escenarios definidos con las mismas palancas del tornado de Riesgos (Figura 29), en vez de mover solo la tasa; bear y bull se definen desde el valor de la acción, no desde la recomendación. Bear es todo lo que sale mal a la vez: WACC nominal +100 pb y cada palanca operacional en su mínimo histórico. Bull es todo lo que sale bien: WACC nominal −100 pb, cada palanca en su máximo histórico e impuesto de 23% (Ley de Reconstrucción). Base es la estimación central del modelo. El arriendo en mismas tiendas (precio) y las ventas de los locatarios se mueven juntos; g nominal se mantiene en 3,0% en los tres. Los pesos salen de la matriz de riesgo de la página de Riesgos: el bear reúne a FR1 (tasas, probabilidad alta) y OR1 (deterioro operacional, media) y, como ocurren juntos, pesa lo del menos probable (media, 30%); el bull reúne sus contrarios (baja y media) y pesa 10%; el base es el resto, 60%. Con probabilidad baja = 10%, media = 30% y alta = 50% a 12 meses (supuesto del equipo), el precio objetivo ponderado es CLP 2.001 (−43,7%).</w:t>
      </w:r>
    </w:p>
    <w:p>
      <w:pPr>
        <w:keepNext w:val="false"/>
        <w:spacing w:after="30" w:before="60"/>
      </w:pPr>
      <w:r>
        <w:rPr>
          <w:rFonts w:ascii="Arial" w:cs="Arial" w:eastAsia="Arial" w:hAnsi="Arial"/>
          <w:b/>
          <w:bCs/>
          <w:color w:val="14284B"/>
          <w:sz w:val="15"/>
          <w:szCs w:val="15"/>
        </w:rPr>
        <w:t xml:space="preserve">Escenarios: bear (todo sale mal), base (central) y bull (todo sale bien)</w:t>
      </w:r>
    </w:p>
    <w:tbl>
      <w:tblPr>
        <w:tblW w:type="dxa" w:w="11505"/>
        <w:tblBorders>
          <w:top w:val="none" w:color="FFFFFF" w:sz="0"/>
          <w:left w:val="none" w:color="FFFFFF" w:sz="0"/>
          <w:bottom w:val="none" w:color="FFFFFF" w:sz="0"/>
          <w:right w:val="none" w:color="FFFFFF" w:sz="0"/>
          <w:insideH w:val="none" w:color="FFFFFF" w:sz="0"/>
          <w:insideV w:val="none" w:color="FFFFFF" w:sz="0"/>
        </w:tblBorders>
      </w:tblPr>
      <w:tblGrid>
        <w:gridCol w:w="3957"/>
        <w:gridCol w:w="2565"/>
        <w:gridCol w:w="2418"/>
        <w:gridCol w:w="2565"/>
      </w:tblGrid>
      <w:tr>
        <w:trPr>
          <w:tblHeader/>
        </w:trPr>
        <w:tc>
          <w:tcPr>
            <w:tcW w:type="dxa" w:w="395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 (todos a la vez)</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Bear</w:t>
            </w:r>
          </w:p>
        </w:tc>
        <w:tc>
          <w:tcPr>
            <w:tcW w:type="dxa" w:w="2418"/>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Base</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Bull</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terminal (todos los períodos)</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pb (11,41%; 8,17% real)</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(7,20% real)</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pb (9,41%; 6,23% real)</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(mín. / máx. histórico trimestral)</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75,8%</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79,7% (2026E)</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81,3%</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consolidada</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95,1%</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95,6%</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96,6%</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Arriendo en mismas tiendas 2027–28 (precio, nominal)</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5,4%</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9,4%</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2027–28 (renta variable, 5,7% del ingreso UDM)</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9,9%</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piso Nota 11</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modelo</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techo Nota 11</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 de ingresos)</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5,5%</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4,8%</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de largo plazo</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27%</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16,8% → 27%</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DCF / precio objetivo 80/20 (CLP)</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1.190 / 1.542</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1.859 / 2.077</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2.906 / 2.915</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vs CLP 3.555</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−56,6%</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−41,6%</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−18,0%</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TIR de la firma al precio (nom.) / brecha vs WACC</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6,95% / −446 pb</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 / −280 pb</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8,51% / −90 pb</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Probabilidad (de la matriz de riesgo)</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30%</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60%</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w:t>
            </w:r>
          </w:p>
        </w:tc>
      </w:tr>
    </w:tbl>
    <w:p>
      <w:pPr>
        <w:keepNext w:val="false"/>
        <w:spacing w:after="60" w:before="20"/>
      </w:pPr>
      <w:r>
        <w:rPr>
          <w:rFonts w:ascii="Arial" w:cs="Arial" w:eastAsia="Arial" w:hAnsi="Arial"/>
          <w:color w:val="5F5F5F"/>
          <w:sz w:val="12"/>
          <w:szCs w:val="12"/>
        </w:rPr>
        <w:t xml:space="preserve">Las palancas operacionales son los extremos históricos del tornado de Riesgos; WACC y g nominales; arriendo (precio) y ventas se mueven juntos. g nominal terminal 3,0% en los tres. Ponderado 30/60/10%: DCF CLP 1.763, precio objetivo CLP 2.001 (−43,7%). Fuente: réplica del DCF v4 (Anexo 18); análisis del equipo.</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El precio exige una WACC nominal 281 pb menor</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WACC nominal terminal; todos los períodos se desplazan en paralelo. Fuente: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El resultado es robusto: ni con todo a favor el precio objetivo (CLP 2.915) alcanza la cotización. La TIR de la firma al precio de mercado casi no cambia entre escenarios (tabla) y queda siempre bajo la WACC de cada uno (446, 280 y 90 pb nominales): ni el bull deja margen de seguridad. El APV (CLP 1.895), una Rf basada en el bono en pesos (~CLP 2.449) y otros objetivos de deuda (DCF de CLP 1.820 a 1.897) llevan a la misma conclusión (Anexo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APV también aísla el valor de la deuda. De sus CLP 1.895 por acción, CLP 1.630 corresponden a la empresa sin deuda y CLP 265 a los escudos fiscales de la deuda proyectada: apalancarse hasta 3,5x agrega valor, pero ni sumándolo se acerca al precio. La elección de la tasa libre de riesgo es la conservadora: usar el bono nominal en pesos (5,43%) y además sumar el riesgo país contaría dos veces el riesgo Chile, y aun así el precio objetivo solo subiría a ~CLP 2.449, 31% bajo el precio. Con un dividendo esperado de ~CLP 69 por acción (2,0%), el retorno total esperado es −39,6%.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Así llegamos a CLP 2.077 (80% × 1.859 + 20% × 2.951): 10,8x EBITDA, un cap rate real de 6,1% y 0,94x el valor libro. Llevar el DCF al 30-sep-26 lo subiría a ~CLP 2.119, sin cambiar la recomendación. El catalizador es la propia tasa: con el UST 10Y nominal en 5,22% (8-oct-26; máximo desde 2002, por verificar), las tasas largas presionan los cap rates, y cada nueva tasación los acerca a nuestro valor. Lo que rompería la tesis es lo contrario: una nueva compresión de cap rates por la demanda institucional de activos defensivos, o una prima estructural por los activos Tier A (ver Riesgos, FR1). Vigilaremos la tasación de la Nota 11 en cada cierre, el spread del bono UF frente a su cupón real de 3,6% (con la tasa efectiva real de 4,33% de la última emisión, la WACC nominal subiría 12 pb y el precio objetivo bajaría a CLP 2.042), la rebaja del impuesto corporativo a 23% (+5,2% al precio objetivo, aún no incluida) y la calificación AAA local, que probablemente quedaría bajo presión con 3,5x de DFN/EBITDA.</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RIESGOS DE INVERSIÓN</w:t>
      </w:r>
    </w:p>
    <w:p>
      <w:pPr>
        <w:keepNext w:val="false"/>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la tasa de descuento (FR1, probabilidad alta). Un alza de las tasas largas baja el valor y refuerza la recomendación; lo que rompería la tesis de VENDER es lo contrario, una compresión adicional de cap rates o una prima estructural por los activos Tier A. Aun en el escenario bull, el precio objetivo no alcanza la cotización.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EVALUACIÓN DE RIESGOS</w:t>
            </w:r>
          </w:p>
          <w:p>
            <w:pPr>
              <w:keepNext w:val="false"/>
              <w:spacing w:after="40" w:before="0" w:line="228" w:lineRule="auto"/>
              <w:jc w:val="both"/>
            </w:pPr>
            <w:r>
              <w:rPr>
                <w:rFonts w:ascii="Arial" w:cs="Arial" w:eastAsia="Arial" w:hAnsi="Arial"/>
                <w:color w:val="1A1A1A"/>
                <w:sz w:val="16"/>
                <w:szCs w:val="16"/>
              </w:rPr>
              <w:t xml:space="preserve">La Figura 28 clasifica cada riesgo según su probabilidad y su impacto sobre el valor por acción (Figuras 29, 30 y 31). Los riesgos que no se pudieron cuantificar se clasifican según el análisis cualitativo del equipo sobre la empresa. Esta matriz fija los pesos de los escenarios de Valuación: el bear reúne a FR1 (probabilidad alta) y OR1 (media), y el bull a sus contrarios.</w:t>
            </w:r>
          </w:p>
          <w:p>
            <w:pPr>
              <w:keepNext w:val="false"/>
              <w:pBdr>
                <w:bottom w:val="single" w:color="E9004B" w:sz="8" w:space="1"/>
              </w:pBdr>
              <w:spacing w:after="50" w:before="110"/>
            </w:pPr>
            <w:r>
              <w:rPr>
                <w:rFonts w:ascii="Arial" w:cs="Arial" w:eastAsia="Arial" w:hAnsi="Arial"/>
                <w:b/>
                <w:bCs/>
                <w:color w:val="14284B"/>
                <w:sz w:val="16"/>
                <w:szCs w:val="16"/>
              </w:rPr>
              <w:t xml:space="preserve">RIESGOS OPERACIONALES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trimestral de 75,8%, reduce el valor DCF a CLP 1.669 (−10,2%), y el piso histórico del crecimiento de rentas en mismas tiendas lo lleva a CLP 1.783 (−4,1%) (Figura 29). Todas las palancas a la vez, con la WACC +100 pb, definen el escenario bear (precio objetivo CLP 1.542, −56,6% frente al precio). </w:t>
            </w:r>
            <w:r>
              <w:rPr>
                <w:rFonts w:ascii="Arial" w:cs="Arial" w:eastAsia="Arial" w:hAnsi="Arial"/>
                <w:i/>
                <w:iCs/>
                <w:color w:val="5F5F5F"/>
                <w:sz w:val="16"/>
                <w:szCs w:val="16"/>
              </w:rPr>
              <w:t xml:space="preserve">(No 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anual de 76,2% (2022) a 80,5% (2025) y ocupación entre 95,1% y 96,6% en 4T23–2T26. Tras el COVID, los ingresos del 1T22 ya superaban en 18% a los del 1T19.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−4,1% (Figura 29). </w:t>
            </w:r>
            <w:r>
              <w:rPr>
                <w:rFonts w:ascii="Arial" w:cs="Arial" w:eastAsia="Arial" w:hAnsi="Arial"/>
                <w:i/>
                <w:iCs/>
                <w:color w:val="5F5F5F"/>
                <w:sz w:val="16"/>
                <w:szCs w:val="16"/>
              </w:rPr>
              <w:t xml:space="preserve">(No sistemático · Prob. baja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val="false"/>
              <w:pBdr>
                <w:bottom w:val="single" w:color="E9004B" w:sz="8" w:space="1"/>
              </w:pBdr>
              <w:spacing w:after="50" w:before="110"/>
            </w:pPr>
            <w:r>
              <w:rPr>
                <w:rFonts w:ascii="Arial" w:cs="Arial" w:eastAsia="Arial" w:hAnsi="Arial"/>
                <w:b/>
                <w:bCs/>
                <w:color w:val="14284B"/>
                <w:sz w:val="16"/>
                <w:szCs w:val="16"/>
              </w:rPr>
              <w:t xml:space="preserve">RIESGOS FINANCIEROS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Las tasas largas dominan el valor, en ambos sentidos. Un alza eleva la WACC y el costo de refinanciar la deuda y el pipeline, y es lo más probable: el UST 10Y pasó de 4,98% (Rf del modelo) a 5,22% al 8-oct-26, máximo desde 2002 (por verificar); la Fed subió su tasa en septiembre y las tasas largas locales también suben. Con WACC nominal +50 pb y +100 pb, el precio objetivo cae 6,7% y 12,5% (Figura 30), lo que refuerza la recomendación. Lo que rompería la tesis es lo contrario: con WACC −100 pb sube 16,6%, a CLP 2.421, y aun así queda 32% bajo el precio. </w:t>
            </w:r>
            <w:r>
              <w:rPr>
                <w:rFonts w:ascii="Arial" w:cs="Arial" w:eastAsia="Arial" w:hAnsi="Arial"/>
                <w:i/>
                <w:iCs/>
                <w:color w:val="5F5F5F"/>
                <w:sz w:val="16"/>
                <w:szCs w:val="16"/>
              </w:rPr>
              <w:t xml:space="preserve">(Sistemático · Prob. alta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real fija, duración de 6,6 años, DFN/EBITDA de 2,36x y calificación AAA local acotan el traspaso al costo de la deuda; los arriendos en UF compensan alzas inflacionarias. El alza de la tasa de descuento del patrimonio no es cubrible.</w:t>
            </w:r>
          </w:p>
          <w:p>
            <w:pPr>
              <w:keepNext w:val="false"/>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pequeño, porque las rentas indexadas suben con la inflación: una alza de 100 pb de la tasa larga nominal que venga toda de inflación esperada resta solo 0,3%; si viniera toda de tasa real, 12,2% (Figura 31). El riesgo está en que un menor consumo impida traspasar la inflación a las rentas: si solo se reajustara el 70% del flujo, el efecto de la inflación subiría a 1,0%. Un menor consumo también frena las nuevas líneas de negocio (Anexo 20). </w:t>
            </w:r>
            <w:r>
              <w:rPr>
                <w:rFonts w:ascii="Arial" w:cs="Arial" w:eastAsia="Arial" w:hAnsi="Arial"/>
                <w:i/>
                <w:iCs/>
                <w:color w:val="5F5F5F"/>
                <w:sz w:val="16"/>
                <w:szCs w:val="16"/>
              </w:rPr>
              <w:t xml:space="preserve">(Sistemático · Prob. alta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29). </w:t>
            </w:r>
            <w:r>
              <w:rPr>
                <w:rFonts w:ascii="Arial" w:cs="Arial" w:eastAsia="Arial" w:hAnsi="Arial"/>
                <w:i/>
                <w:iCs/>
                <w:color w:val="5F5F5F"/>
                <w:sz w:val="16"/>
                <w:szCs w:val="16"/>
              </w:rPr>
              <w:t xml:space="preserve">(Sistemático · Prob. baja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(PEN)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val="false"/>
              <w:pBdr>
                <w:bottom w:val="single" w:color="E9004B" w:sz="8" w:space="1"/>
              </w:pBdr>
              <w:spacing w:after="50" w:before="110"/>
            </w:pPr>
            <w:r>
              <w:rPr>
                <w:rFonts w:ascii="Arial" w:cs="Arial" w:eastAsia="Arial" w:hAnsi="Arial"/>
                <w:b/>
                <w:bCs/>
                <w:color w:val="14284B"/>
                <w:sz w:val="16"/>
                <w:szCs w:val="16"/>
              </w:rPr>
              <w:t xml:space="preserve">RIESGOS REGULATORIOS Y ESG</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53,1% y arrienda espacios (Falabella, Sodimac, Tottus), lo que genera cuentas por cobrar con relacionadas. Fernando de Peña, gerente de Mallplaza por décadas, preside Falabella desde marzo de 2026. Contratos fuera de mercado afectarían directamente las rentas y el valor. Hay también un riesgo de asignación de capital: la expansión rinde menos que su costo (RONIC real de 5,3% frente a una WACC real de 7,2%), de modo que seguir creciendo beneficia a la utilidad contable y a un controlador con otros negocios en esos malls más que al minoritario (por verificar; ver Valuación). </w:t>
            </w:r>
            <w:r>
              <w:rPr>
                <w:rFonts w:ascii="Arial" w:cs="Arial" w:eastAsia="Arial" w:hAnsi="Arial"/>
                <w:i/>
                <w:iCs/>
                <w:color w:val="5F5F5F"/>
                <w:sz w:val="16"/>
                <w:szCs w:val="16"/>
              </w:rPr>
              <w:t xml:space="preserve">(No sistemático · Prob. baja · Impacto alto)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keepNext w:val="false"/>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soberana A estable y la Ley 21.770 (sep-25) acorta los permisos. En Perú, el alza del salario mínimo a S/ 1.300 y la duplicación de Pensión 65 apoyan el consumo (Infobae, 28-jul-26). Colombia aporta solo ~11% de los ingresos. El modelo mantiene 27%: la rebaja en Chile sumaría ~5,2%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Matriz de riesgos</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Color de fondo = severidad (probabilidad × impacto). Fuente: análisis del equipo.</w:t>
            </w:r>
          </w:p>
          <w:p>
            <w:pPr>
              <w:keepNext w:val="false"/>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Tornado de riesgo operacional (CLP por acción)</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Límites = mínimo y máximo histórico de cada variable (releases de Mallplaza 4T23–2T26; EEFF para capex de mantención y tasación, Nota 11). WACC 10,41% y g 3,0% constantes. Fuente: Mallplaza; equipo.</w:t>
            </w:r>
          </w:p>
          <w:p>
            <w:pPr>
              <w:keepNext w:val="false"/>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keepNext w:val="false"/>
              <w:spacing w:after="30" w:before="10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Precio objetivo según la tasa larga y la parte de su alza que viene de inflación (CLP)</w:t>
            </w:r>
          </w:p>
          <w:p>
            <w:pPr>
              <w:keepNext w:val="false"/>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144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BCP a 10 años (base 6,25%); alza repartida entre tasa real e inflación; 85% del flujo indexado (supuesto del equipo). Fuente: BCCh; equipo.</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RESUMEN DE INVERSIÓN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VENDER · precio objetivo CLP 2.077 por acción, 41,6% bajo el cierre de CLP 3.555 (30-sep-26): un excelente negocio de arriendos que el mercado paga como si sus flujos fueran casi libres de riesgo.</w:t>
      </w:r>
    </w:p>
    <w:p>
      <w:pPr>
        <w:keepNext w:val="false"/>
        <w:pBdr>
          <w:bottom w:val="single" w:color="E9004B" w:sz="8" w:space="1"/>
        </w:pBdr>
        <w:spacing w:after="50" w:before="20"/>
      </w:pPr>
      <w:r>
        <w:rPr>
          <w:rFonts w:ascii="Arial" w:cs="Arial" w:eastAsia="Arial" w:hAnsi="Arial"/>
          <w:b/>
          <w:bCs/>
          <w:color w:val="14284B"/>
          <w:sz w:val="16"/>
          <w:szCs w:val="16"/>
        </w:rPr>
        <w:t xml:space="preserve">DATOS CLAVE</w:t>
      </w:r>
    </w:p>
    <w:tbl>
      <w:tblPr>
        <w:tblW w:type="dxa" w:w="11500"/>
        <w:tblBorders>
          <w:top w:val="none" w:color="FFFFFF" w:sz="0"/>
          <w:left w:val="none" w:color="FFFFFF" w:sz="0"/>
          <w:bottom w:val="none" w:color="FFFFFF" w:sz="0"/>
          <w:right w:val="none" w:color="FFFFFF" w:sz="0"/>
          <w:insideH w:val="none" w:color="FFFFFF" w:sz="0"/>
          <w:insideV w:val="none" w:color="FFFFFF" w:sz="0"/>
        </w:tblBorders>
      </w:tblPr>
      <w:tblGrid>
        <w:gridCol w:w="2900"/>
        <w:gridCol w:w="2000"/>
        <w:gridCol w:w="3600"/>
        <w:gridCol w:w="3000"/>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2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c>
          <w:tcPr>
            <w:tcW w:type="dxa" w:w="3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3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Recomendación</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VENDER</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 / base / bull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1.542 / 2.077 / 2.915</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objetivo (CLP)</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2.077</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Capitalización (CLP mil MM)</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Precio 30-sep-26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Rango 52 semanas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Potencial</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Dividendo esperado 2027E (CLP)</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Valor DCF / múltiplos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1.859 / 2.951</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 real</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Ponderación DCF / múltiplos</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 / EBITDA UDM 2T26</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La acción subió ~90% en seis meses sin que cambiara el negocio y luego devolvió 24%</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Precios de los hitos tomados de los documentos del equipo (mínimo, máximo y cierre; notas de LarrainVial, Morgan Stanley y Diario Financiero). La línea solo une hitos: no es la serie diaria. Fuente: documentos del equipo;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RECOMENDACIÓN Y PRECIO OBJETIVO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Recomendamos VENDER Mallplaza (MALLPLAZ CI) con un precio objetivo de CLP 2.077 por acción, 41,6% bajo el cierre del 30-sep-26 (−39,6% de retorno total con un dividendo esperado de CLP 69, 2,0%). El precio objetivo pondera 80% el valor DCF (CLP 1.859, al 30-jun-26) y 20% el valor por múltiplos EV/EBITDA UDM de pares (CLP 2.951; 14,4x). Queda incluso bajo el mínimo de 52 semanas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TESIS DE INVERSIÓN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es un negocio excelente: arriendos contractuales reajustados por UF (81,4% de los ingresos; 93% fijo), margen EBITDA de 80%, ocupación de 95,6%, DFN/EBITDA de 2,36x y calificación AAA local. Pero el precio paga más de lo que esos flujos pueden entregar, por tres razones. Primera, la tasa: el precio exige una WACC nominal de 7,60% (4,5% real), 281 pb bajo la nuestra; la TIR del activo al precio es 7,61% nominal (4,48% real), 280 pb bajo la WACC nominal. Segunda, crecer no crea valor: cada m² nuevo rinde 7,3% real antes de impuestos sobre su costo, un RONIC real de 5,3%, y su TIR es 4,84% real (7,98% nominal), 236 pb bajo la WACC real; incluso el pipeline completo (170.200 m², USD 613 MM) suma ingresos, no valor. Tercera, los flujos no son el problema: proyectamos un margen EBITDA de 79,7% en 2026E y el consenso BEst espera un EBITDA a 12 meses solo ~3% sobre el nuestro.</w:t>
      </w:r>
    </w:p>
    <w:p>
      <w:pPr>
        <w:keepNext/>
        <w:pBdr>
          <w:bottom w:val="single" w:color="E9004B" w:sz="8" w:space="1"/>
        </w:pBdr>
        <w:spacing w:after="50" w:before="110"/>
        <w:ind w:right="3766"/>
      </w:pPr>
      <w:r>
        <w:rPr>
          <w:rFonts w:ascii="Arial" w:cs="Arial" w:eastAsia="Arial" w:hAnsi="Arial"/>
          <w:b/>
          <w:bCs/>
          <w:color w:val="14284B"/>
          <w:sz w:val="16"/>
          <w:szCs w:val="16"/>
        </w:rPr>
        <w:t xml:space="preserve">POR QUÉ ESTÁ CARA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La acción subió ~90% entre el mínimo de CLP 2.470 (10-oct-25) y el máximo de CLP 4.700 (27-abr-26) sin que el negocio cambiara (EBITDA +5% a +10% anual): el impulso vino de la bolsa chilena (+56% en 2025), de la revalorización conjunta de los malls, de las compras pasivas por la inclusión en el MSCI EM Mid Cap (según Morgan Stanley) y de analistas que extrapolaron crecimiento. La caída posterior a CLP 3.555 es una corrección parcial: la acción cotiza 91% sobre el DCF y a 1,61x su valor libro a valor razonable (Figura 32).</w:t>
      </w:r>
    </w:p>
    <w:p>
      <w:pPr>
        <w:keepNext/>
        <w:pBdr>
          <w:bottom w:val="single" w:color="E9004B" w:sz="8" w:space="1"/>
        </w:pBdr>
        <w:spacing w:after="50" w:before="110"/>
        <w:ind w:right="3766"/>
      </w:pPr>
      <w:r>
        <w:rPr>
          <w:rFonts w:ascii="Arial" w:cs="Arial" w:eastAsia="Arial" w:hAnsi="Arial"/>
          <w:b/>
          <w:bCs/>
          <w:color w:val="14284B"/>
          <w:sz w:val="16"/>
          <w:szCs w:val="16"/>
        </w:rPr>
        <w:t xml:space="preserve">ESCENARIOS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Definimos tres escenarios con las mismas palancas del tornado de Riesgos, desde el valor de la acción. Bear es todo lo que sale mal a la vez (WACC nominal +100 pb y cada palanca operacional en su mínimo histórico): CLP 1.542 (−56,6%). Base es la estimación central del modelo: CLP 2.077 (−41,6%). Bull es todo lo que sale bien (WACC nominal −100 pb, cada palanca en su máximo histórico, impuesto de 23%): CLP 2.915 (−18,0%). Pesos de la matriz de riesgo (bear 30%: FR1 alta y OR1 media, juntas; bull 10%: sus contrarios; base 60%; baja 10%, media 30%, alta 50%, supuestos del equipo): CLP 2.001. Ningún escenario alcanza el precio (Figura 33; Anexo 18).</w:t>
      </w:r>
    </w:p>
    <w:p>
      <w:pPr>
        <w:keepNext w:val="false"/>
        <w:spacing w:after="30" w:before="60"/>
      </w:pPr>
      <w:r>
        <w:rPr>
          <w:rFonts w:ascii="Arial" w:cs="Arial" w:eastAsia="Arial" w:hAnsi="Arial"/>
          <w:b/>
          <w:bCs/>
          <w:color w:val="14284B"/>
          <w:sz w:val="15"/>
          <w:szCs w:val="15"/>
        </w:rPr>
        <w:t xml:space="preserve">Escenarios: bear (todo sale mal), base (central) y bull (todo sale bien)</w:t>
      </w:r>
    </w:p>
    <w:tbl>
      <w:tblPr>
        <w:tblW w:type="dxa" w:w="11505"/>
        <w:tblBorders>
          <w:top w:val="none" w:color="FFFFFF" w:sz="0"/>
          <w:left w:val="none" w:color="FFFFFF" w:sz="0"/>
          <w:bottom w:val="none" w:color="FFFFFF" w:sz="0"/>
          <w:right w:val="none" w:color="FFFFFF" w:sz="0"/>
          <w:insideH w:val="none" w:color="FFFFFF" w:sz="0"/>
          <w:insideV w:val="none" w:color="FFFFFF" w:sz="0"/>
        </w:tblBorders>
      </w:tblPr>
      <w:tblGrid>
        <w:gridCol w:w="3957"/>
        <w:gridCol w:w="2565"/>
        <w:gridCol w:w="2418"/>
        <w:gridCol w:w="2565"/>
      </w:tblGrid>
      <w:tr>
        <w:trPr>
          <w:tblHeader/>
        </w:trPr>
        <w:tc>
          <w:tcPr>
            <w:tcW w:type="dxa" w:w="395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 (todos a la vez)</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Bear</w:t>
            </w:r>
          </w:p>
        </w:tc>
        <w:tc>
          <w:tcPr>
            <w:tcW w:type="dxa" w:w="2418"/>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Base</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Bull</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terminal (todos los períodos)</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pb (11,41%; 8,17% real)</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(7,20% real)</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pb (9,41%; 6,23% real)</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(mín. / máx. histórico trimestral)</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75,8%</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79,7% (2026E)</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81,3%</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consolidada</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95,1%</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95,6%</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96,6%</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DCF / precio objetivo 80/20 (CLP)</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1.190 / 1.542</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1.859 / 2.077</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2.906 / 2.915</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vs CLP 3.555</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−56,6%</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−41,6%</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−18,0%</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Probabilidad (de la matriz de riesgo)</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30%</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60%</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w:t>
            </w:r>
          </w:p>
        </w:tc>
      </w:tr>
    </w:tbl>
    <w:p>
      <w:pPr>
        <w:keepNext w:val="false"/>
        <w:spacing w:after="60" w:before="20"/>
      </w:pPr>
      <w:r>
        <w:rPr>
          <w:rFonts w:ascii="Arial" w:cs="Arial" w:eastAsia="Arial" w:hAnsi="Arial"/>
          <w:color w:val="5F5F5F"/>
          <w:sz w:val="12"/>
          <w:szCs w:val="12"/>
        </w:rPr>
        <w:t xml:space="preserve">Detalle completo de supuestos en el Anexo 18 y en la tabla de Valuación. Fuente: réplica del DCF v4; análisis del equipo.</w:t>
      </w:r>
    </w:p>
    <w:p>
      <w:pPr>
        <w:keepNext/>
        <w:pBdr>
          <w:bottom w:val="single" w:color="E9004B" w:sz="8" w:space="1"/>
        </w:pBdr>
        <w:spacing w:after="50" w:before="110"/>
        <w:ind w:right="3766"/>
      </w:pPr>
      <w:r>
        <w:rPr>
          <w:rFonts w:ascii="Arial" w:cs="Arial" w:eastAsia="Arial" w:hAnsi="Arial"/>
          <w:b/>
          <w:bCs/>
          <w:color w:val="14284B"/>
          <w:sz w:val="16"/>
          <w:szCs w:val="16"/>
        </w:rPr>
        <w:t xml:space="preserve">SENSIBILIDADES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Ninguna palanca por sí sola explica el precio: la mayor, bajar la WACC nominal 100 pb, agrega CLP 430 (23%) y la brecha con el precio es CLP 1.696, que ninguna palanca individual cierra.</w:t>
      </w:r>
    </w:p>
    <w:p>
      <w:pPr>
        <w:keepNext w:val="false"/>
        <w:spacing w:after="30" w:before="60"/>
      </w:pPr>
      <w:r>
        <w:rPr>
          <w:rFonts w:ascii="Arial" w:cs="Arial" w:eastAsia="Arial" w:hAnsi="Arial"/>
          <w:b/>
          <w:bCs/>
          <w:color w:val="14284B"/>
          <w:sz w:val="15"/>
          <w:szCs w:val="15"/>
        </w:rPr>
        <w:t xml:space="preserve">Sensibilidad del valor DCF por acción (base CLP 1.859)</w:t>
      </w:r>
    </w:p>
    <w:tbl>
      <w:tblPr>
        <w:tblW w:type="dxa" w:w="11505"/>
        <w:tblBorders>
          <w:top w:val="none" w:color="FFFFFF" w:sz="0"/>
          <w:left w:val="none" w:color="FFFFFF" w:sz="0"/>
          <w:bottom w:val="none" w:color="FFFFFF" w:sz="0"/>
          <w:right w:val="none" w:color="FFFFFF" w:sz="0"/>
          <w:insideH w:val="none" w:color="FFFFFF" w:sz="0"/>
          <w:insideV w:val="none" w:color="FFFFFF" w:sz="0"/>
        </w:tblBorders>
      </w:tblPr>
      <w:tblGrid>
        <w:gridCol w:w="5407"/>
        <w:gridCol w:w="2640"/>
        <w:gridCol w:w="3458"/>
      </w:tblGrid>
      <w:tr>
        <w:trPr>
          <w:tblHeader/>
        </w:trPr>
        <w:tc>
          <w:tcPr>
            <w:tcW w:type="dxa" w:w="540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Palanca (variación)</w:t>
            </w:r>
          </w:p>
        </w:tc>
        <w:tc>
          <w:tcPr>
            <w:tcW w:type="dxa" w:w="2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Δ valor (CLP)</w:t>
            </w:r>
          </w:p>
        </w:tc>
        <w:tc>
          <w:tcPr>
            <w:tcW w:type="dxa" w:w="3458"/>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Δ valor (% del DCF)</w:t>
            </w:r>
          </w:p>
        </w:tc>
      </w:tr>
      <w:tr>
        <w:trPr>
          <w:cantSplit w:val="false"/>
        </w:trPr>
        <w:tc>
          <w:tcPr>
            <w:tcW w:type="dxa" w:w="540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−100 pb / +100 pb</w:t>
            </w:r>
          </w:p>
        </w:tc>
        <w:tc>
          <w:tcPr>
            <w:tcW w:type="dxa" w:w="2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+430 / −326</w:t>
            </w:r>
          </w:p>
        </w:tc>
        <w:tc>
          <w:tcPr>
            <w:tcW w:type="dxa" w:w="345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23% / −18%</w:t>
            </w:r>
          </w:p>
        </w:tc>
      </w:tr>
      <w:tr>
        <w:trPr>
          <w:cantSplit w:val="false"/>
        </w:trPr>
        <w:tc>
          <w:tcPr>
            <w:tcW w:type="dxa" w:w="540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Arriendo mismas tiendas 2027–28 (nominal) +1 pp</w:t>
            </w:r>
          </w:p>
        </w:tc>
        <w:tc>
          <w:tcPr>
            <w:tcW w:type="dxa" w:w="2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+45</w:t>
            </w:r>
          </w:p>
        </w:tc>
        <w:tc>
          <w:tcPr>
            <w:tcW w:type="dxa" w:w="345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w:t>
            </w:r>
          </w:p>
        </w:tc>
      </w:tr>
      <w:tr>
        <w:trPr>
          <w:cantSplit w:val="false"/>
        </w:trPr>
        <w:tc>
          <w:tcPr>
            <w:tcW w:type="dxa" w:w="540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real del arriendo 2029–31 +1 pp</w:t>
            </w:r>
          </w:p>
        </w:tc>
        <w:tc>
          <w:tcPr>
            <w:tcW w:type="dxa" w:w="2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+57</w:t>
            </w:r>
          </w:p>
        </w:tc>
        <w:tc>
          <w:tcPr>
            <w:tcW w:type="dxa" w:w="345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3,1%</w:t>
            </w:r>
          </w:p>
        </w:tc>
      </w:tr>
      <w:tr>
        <w:trPr>
          <w:cantSplit w:val="false"/>
        </w:trPr>
        <w:tc>
          <w:tcPr>
            <w:tcW w:type="dxa" w:w="540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+1 pp</w:t>
            </w:r>
          </w:p>
        </w:tc>
        <w:tc>
          <w:tcPr>
            <w:tcW w:type="dxa" w:w="2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+39</w:t>
            </w:r>
          </w:p>
        </w:tc>
        <w:tc>
          <w:tcPr>
            <w:tcW w:type="dxa" w:w="345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2,1%</w:t>
            </w:r>
          </w:p>
        </w:tc>
      </w:tr>
      <w:tr>
        <w:trPr>
          <w:cantSplit w:val="false"/>
        </w:trPr>
        <w:tc>
          <w:tcPr>
            <w:tcW w:type="dxa" w:w="540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+1 pp</w:t>
            </w:r>
          </w:p>
        </w:tc>
        <w:tc>
          <w:tcPr>
            <w:tcW w:type="dxa" w:w="2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+25</w:t>
            </w:r>
          </w:p>
        </w:tc>
        <w:tc>
          <w:tcPr>
            <w:tcW w:type="dxa" w:w="345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1,3%</w:t>
            </w:r>
          </w:p>
        </w:tc>
      </w:tr>
      <w:tr>
        <w:trPr>
          <w:cantSplit w:val="false"/>
        </w:trPr>
        <w:tc>
          <w:tcPr>
            <w:tcW w:type="dxa" w:w="540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2027–28 +1 pp (renta variable)</w:t>
            </w:r>
          </w:p>
        </w:tc>
        <w:tc>
          <w:tcPr>
            <w:tcW w:type="dxa" w:w="2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+2,6</w:t>
            </w:r>
          </w:p>
        </w:tc>
        <w:tc>
          <w:tcPr>
            <w:tcW w:type="dxa" w:w="345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0,14%</w:t>
            </w:r>
          </w:p>
        </w:tc>
      </w:tr>
    </w:tbl>
    <w:p>
      <w:pPr>
        <w:keepNext w:val="false"/>
        <w:spacing w:after="60" w:before="20"/>
      </w:pPr>
      <w:r>
        <w:rPr>
          <w:rFonts w:ascii="Arial" w:cs="Arial" w:eastAsia="Arial" w:hAnsi="Arial"/>
          <w:color w:val="5F5F5F"/>
          <w:sz w:val="12"/>
          <w:szCs w:val="12"/>
        </w:rPr>
        <w:t xml:space="preserve">Cada fila mueve una sola palanca con las demás en el caso base. Fuente: réplica del DCF v4; análisis del equipo.</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Escenarios: aun con todo a favor el precio objetivo queda 18% bajo el precio (CLP por acción)</w:t>
            </w:r>
          </w:p>
          <w:p>
            <w:pPr>
              <w:keepNext w:val="false"/>
              <w:spacing w:after="20" w:before="0" w:line="240" w:lineRule="auto"/>
              <w:jc w:val="center"/>
            </w:pPr>
            <w:r>
              <w:drawing>
                <wp:inline distT="0" distB="0" distL="0" distR="0">
                  <wp:extent cx="9620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9620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Bear: todo sale mal; base: estimación central; bull: todo sale bien (definiciones en el Anexo 18). Ilustraciones del equipo. Fuente: réplica del DCF v4; análisis del equipo.</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FRENTE AL CONSENSO</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El consenso de Bloomberg (14 fuentes; 1 comprar, 10 mantener, 2 vender) fija un objetivo a 12 meses de CLP 4.111, 49,5% sobre el nuestro. La diferencia es de tasa: con la WACC de los tasadores (8,72% nominal) el DCF sube a CLP 2.679, y con la WACC implícita (7,60%) iguala el precio. Lo demás es horizonte (CLP 4.111 equivalen a ~CLP 3.673 hoy a nuestro Ke) y un crecimiento que el mercado valora al cap rate (Figura 34).</w:t>
      </w:r>
    </w:p>
    <w:p>
      <w:pPr>
        <w:keepNext/>
        <w:pBdr>
          <w:bottom w:val="single" w:color="E9004B" w:sz="8" w:space="1"/>
        </w:pBdr>
        <w:spacing w:after="50" w:before="110"/>
        <w:ind w:right="3766"/>
      </w:pPr>
      <w:r>
        <w:rPr>
          <w:rFonts w:ascii="Arial" w:cs="Arial" w:eastAsia="Arial" w:hAnsi="Arial"/>
          <w:b/>
          <w:bCs/>
          <w:color w:val="14284B"/>
          <w:sz w:val="16"/>
          <w:szCs w:val="16"/>
        </w:rPr>
        <w:t xml:space="preserve">SUPUESTOS DEL CASO BASE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Valoración al 30-jun-26 y precio al 30-sep-26. FCFF en CLP nominales, convención de mitad de período; inflación 3,0% (UF). WACC nominal 10,54% en 2S26E y 10,41% terminal (7,20% real): Rf 4,98% en USD (UST 10Y), prima de mercado 4,14%, riesgo país ponderado 1,41%, beta re-apalancada 1,14, Ke nominal 11,93%, Kd nominal después de impuestos 5,11% (cupón real 3,6% + spread) y DFN/EBITDA de 2,36x a 3,5x en 2031. g terminal 3,0% nominal (0% real). Margen EBITDA 79,7% en 2026E; impuesto en caja de 16,8% que converge a 27% en 2030; capex de mantención + TI 5,5% de los ingresos; capital de trabajo 15,6% de los ingresos. Pipeline con fecha de 170.200 m² (USD 613 MM) y expansión continua de 27.075 m² al año desde 2029.</w:t>
      </w:r>
    </w:p>
    <w:p>
      <w:pPr>
        <w:keepNext/>
        <w:pBdr>
          <w:bottom w:val="single" w:color="E9004B" w:sz="8" w:space="1"/>
        </w:pBdr>
        <w:spacing w:after="50" w:before="110"/>
        <w:ind w:right="3766"/>
      </w:pPr>
      <w:r>
        <w:rPr>
          <w:rFonts w:ascii="Arial" w:cs="Arial" w:eastAsia="Arial" w:hAnsi="Arial"/>
          <w:b/>
          <w:bCs/>
          <w:color w:val="14284B"/>
          <w:sz w:val="16"/>
          <w:szCs w:val="16"/>
        </w:rPr>
        <w:t xml:space="preserve">CATALIZADORES Y RIESGOS</w:t>
      </w:r>
    </w:p>
    <w:tbl>
      <w:tblPr>
        <w:tblpPr w:leftFromText="0" w:rightFromText="0" w:topFromText="0" w:bottomFromText="0" w:tblpX="7956" w:tblpY="57"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De nuestro DCF al precio y al consenso: la brecha es de tasa (CLP por acción)</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Consenso: objetivo a 12 meses de Bloomberg (14 fuentes). «Hoy a nuestro Ke» = objetivo / (1 + Ke nominal terminal). Fuente: Bloomberg; análisis del equipo.</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Catalizadores: tasas largas altas (UST 10Y nominal en 5,22%), cada nueva tasación (Nota 11) que acerque el cap rate a nuestro valor y la normalización del impuesto en caja de 16,8% a 27%. Riesgos para la tesis: una nueva compresión de las tasas largas (un alza la refuerza); una prima estructural por los activos Tier A; la rebaja del impuesto corporativo a 23% (+5,2% al precio objetivo, aún no incluida); y el gobierno corporativo (Falabella controla 53,1% y solo 1 de 9 directores es independiente; la expansión rinde menos que su costo de capital, con incentivos por verificar). Los ahorros ESG (~CLP 2 por acción) no cambian la conclusión.</w:t>
      </w:r>
    </w:p>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INDUSTRIA Y POSICIONAMIENTO COMPETITIVO</w:t>
      </w:r>
    </w:p>
    <w:p>
      <w:pPr>
        <w:keepNext w:val="false"/>
        <w:pBdr>
          <w:bottom w:val="single" w:color="14284B" w:sz="12" w:space="2"/>
        </w:pBdr>
        <w:spacing w:after="70" w:before="60"/>
      </w:pPr>
      <w:r>
        <w:rPr>
          <w:rFonts w:ascii="Arial" w:cs="Arial" w:eastAsia="Arial" w:hAnsi="Arial"/>
          <w:b/>
          <w:bCs/>
          <w:color w:val="14284B"/>
          <w:sz w:val="24"/>
          <w:szCs w:val="24"/>
        </w:rPr>
        <w:t xml:space="preserve">ANEXO 3: OFERTA NUEVA DE GLA, 2026-2028</w:t>
      </w:r>
    </w:p>
    <w:p>
      <w:pPr>
        <w:keepNext w:val="false"/>
        <w:shd w:fill="EEF1F6" w:color="auto" w:val="clear"/>
        <w:spacing w:after="80" w:line="228" w:lineRule="auto"/>
        <w:jc w:val="both"/>
      </w:pPr>
      <w:r>
        <w:rPr>
          <w:rFonts w:ascii="Arial" w:cs="Arial" w:eastAsia="Arial" w:hAnsi="Arial"/>
          <w:color w:val="1A1A1A"/>
          <w:sz w:val="16"/>
          <w:szCs w:val="16"/>
        </w:rPr>
        <w:t xml:space="preserve">El trío agregará 432.030 m² entre 2026 y 2028, de los cuales 334.030 m² son orgánicos (6,4% de su GLA total actual; en Chile, 219.900 m², equivalentes al 5,1% del GLA de los principales operadores en Chile y al 6,7% del GLA del propio trío). Las adquisiciones (98.000 m², todas de Parque Arauco) cambian de dueño pero no suman oferta a la industria; por eso el análisis de oferta vs demanda en Chile (Figura 3) usa solo el GLA orgánico.</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4800"/>
        <w:gridCol w:w="216"/>
        <w:gridCol w:w="6490"/>
      </w:tblGrid>
      <w:tr>
        <w:tc>
          <w:tcPr>
            <w:tcW w:type="dxa" w:w="4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A. PIPELINE POR EMPRESA (m²)</w:t>
            </w:r>
          </w:p>
          <w:p>
            <w:pPr>
              <w:keepNext w:val="false"/>
              <w:spacing w:after="20" w:before="0" w:line="240" w:lineRule="auto"/>
            </w:pPr>
            <w:r>
              <w:drawing>
                <wp:inline distT="0" distB="0" distL="0" distR="0">
                  <wp:extent cx="3048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048000" cy="2057400"/>
                          </a:xfrm>
                          <a:prstGeom prst="rect">
                            <a:avLst/>
                          </a:prstGeom>
                        </pic:spPr>
                      </pic:pic>
                    </a:graphicData>
                  </a:graphic>
                </wp:inline>
              </w:drawing>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64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B. GLA POR AÑO DE APERTURA (m²)</w:t>
            </w:r>
          </w:p>
          <w:tbl>
            <w:tblPr>
              <w:tblW w:type="dxa" w:w="5600"/>
              <w:tblBorders>
                <w:top w:val="none" w:color="FFFFFF" w:sz="0"/>
                <w:left w:val="none" w:color="FFFFFF" w:sz="0"/>
                <w:bottom w:val="none" w:color="FFFFFF" w:sz="0"/>
                <w:right w:val="none" w:color="FFFFFF" w:sz="0"/>
                <w:insideH w:val="none" w:color="FFFFFF" w:sz="0"/>
                <w:insideV w:val="none" w:color="FFFFFF" w:sz="0"/>
              </w:tblBorders>
            </w:tblPr>
            <w:tblGrid>
              <w:gridCol w:w="900"/>
              <w:gridCol w:w="640"/>
              <w:gridCol w:w="640"/>
              <w:gridCol w:w="640"/>
              <w:gridCol w:w="740"/>
              <w:gridCol w:w="700"/>
              <w:gridCol w:w="740"/>
              <w:gridCol w:w="600"/>
            </w:tblGrid>
            <w:tr>
              <w:trPr>
                <w:tblHeader/>
              </w:trPr>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2026</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Orgánico</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Adquis.</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Total</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Org./GLA</w:t>
                  </w:r>
                </w:p>
              </w:tc>
            </w:tr>
            <w:tr>
              <w:trPr>
                <w:cantSplit w:val="false"/>
              </w:trPr>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8.900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72.950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88.350</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42.330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r>
            <w:tr>
              <w:trPr>
                <w:cantSplit w:val="false"/>
              </w:trPr>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34.000</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52.500</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Trío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95.900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152.950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183.180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334.030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432.030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6,4%</w:t>
                  </w:r>
                </w:p>
              </w:tc>
            </w:tr>
          </w:tbl>
          <w:p>
            <w:pPr>
              <w:keepNext w:val="false"/>
              <w:spacing w:after="0" w:before="10" w:line="216" w:lineRule="auto"/>
            </w:pPr>
            <w:r>
              <w:rPr>
                <w:rFonts w:ascii="Arial" w:cs="Arial" w:eastAsia="Arial" w:hAnsi="Arial"/>
                <w:i/>
                <w:iCs/>
                <w:color w:val="5F5F5F"/>
                <w:sz w:val="11"/>
                <w:szCs w:val="11"/>
              </w:rPr>
              <w:t xml:space="preserve">Org./GLA = GLA orgánico 2026-2028 sobre GLA consolidado al 2Q26. Mallplaza: el 2028 incluye 46.500 m² de "Otros proyectos Chile", fechados en 2028 por la Memoria 2025 (p.45). Parque Arauco: 2026 = 2S26 (adquisiciones). Cenco: entregas en rango ubicadas al final del rango. En Chile, la oferta orgánica del trío (219.900 m²) equivale al 5,1% del GLA de los principales operadores (≈4,3 millones de m²: 3,29 millones del trío sin oficinas ÷ 76%, su participación en ese universo; no se dispone del GLA total del mercado).</w:t>
            </w:r>
          </w:p>
          <w:p>
            <w:pPr>
              <w:keepNext w:val="false"/>
            </w:pPr>
          </w:p>
        </w:tc>
      </w:tr>
    </w:tbl>
    <w:p>
      <w:pPr>
        <w:keepNext w:val="false"/>
        <w:spacing w:after="0" w:before="10" w:line="216" w:lineRule="auto"/>
      </w:pPr>
      <w:r>
        <w:rPr>
          <w:rFonts w:ascii="Arial" w:cs="Arial" w:eastAsia="Arial" w:hAnsi="Arial"/>
          <w:i/>
          <w:iCs/>
          <w:color w:val="5F5F5F"/>
          <w:sz w:val="11"/>
          <w:szCs w:val="11"/>
        </w:rPr>
        <w:t xml:space="preserve">Fuente: Plaza S.A., Release 2Q26 (p.13) y Memoria 2025 (p.45); Parque Arauco, Investor Presentation 2Q26 (slide 23); Cenco Malls, Corporate Presentation 2Q26 (slides 15-17). Solo proyectos con fecha.</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ANEXO 4: OCUPACIÓN</w:t>
            </w:r>
          </w:p>
          <w:p>
            <w:pPr>
              <w:keepNext w:val="false"/>
              <w:shd w:fill="EEF1F6" w:color="auto" w:val="clear"/>
              <w:spacing w:after="80" w:line="228" w:lineRule="auto"/>
              <w:jc w:val="both"/>
            </w:pPr>
            <w:r>
              <w:rPr>
                <w:rFonts w:ascii="Arial" w:cs="Arial" w:eastAsia="Arial" w:hAnsi="Arial"/>
                <w:color w:val="1A1A1A"/>
                <w:sz w:val="16"/>
                <w:szCs w:val="16"/>
              </w:rPr>
              <w:t xml:space="preserve">La ocupación consolidada de los tres operadores se ha mantenido entre 93% y 99% desde el 2T22, incluso durante el ciclo de inflación y tasas altas. Cada empresa define la ocupación de forma distinta, por lo que se comparan tendencias y no niveles.</w:t>
            </w:r>
          </w:p>
          <w:p>
            <w:pPr>
              <w:keepNext w:val="false"/>
              <w:pBdr>
                <w:bottom w:val="single" w:color="E9004B" w:sz="8" w:space="1"/>
              </w:pBdr>
              <w:spacing w:after="50" w:before="40"/>
            </w:pPr>
            <w:r>
              <w:rPr>
                <w:rFonts w:ascii="Arial" w:cs="Arial" w:eastAsia="Arial" w:hAnsi="Arial"/>
                <w:b/>
                <w:bCs/>
                <w:color w:val="14284B"/>
                <w:sz w:val="16"/>
                <w:szCs w:val="16"/>
              </w:rPr>
              <w:t xml:space="preserve">A. TASA DE OCUPACIÓN CONSOLIDADA, 2T22-2T26</w:t>
            </w:r>
          </w:p>
          <w:p>
            <w:pPr>
              <w:keepNext w:val="false"/>
              <w:spacing w:after="20" w:before="0" w:line="240" w:lineRule="auto"/>
            </w:pPr>
            <w:r>
              <w:drawing>
                <wp:inline distT="0" distB="0" distL="0" distR="0">
                  <wp:extent cx="35814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581400" cy="2409825"/>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Fuente: reportes de resultados 2T22-2T26 de las tres empresas. Mallplaza incluye Open Plaza desde el 2T25.</w:t>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ANEXO 5: PARTICIPACIÓN EN CHILE</w:t>
            </w:r>
          </w:p>
          <w:p>
            <w:pPr>
              <w:keepNext w:val="false"/>
              <w:shd w:fill="EEF1F6" w:color="auto" w:val="clear"/>
              <w:spacing w:after="80" w:line="228" w:lineRule="auto"/>
              <w:jc w:val="both"/>
            </w:pPr>
            <w:r>
              <w:rPr>
                <w:rFonts w:ascii="Arial" w:cs="Arial" w:eastAsia="Arial" w:hAnsi="Arial"/>
                <w:color w:val="1A1A1A"/>
                <w:sz w:val="16"/>
                <w:szCs w:val="16"/>
              </w:rPr>
              <w:t xml:space="preserve">El GLA del trío en Chile creció 7,3% desde el 2T22. Mallplaza cedió 1,2 pp de participación porque creció solo con ampliaciones, mientras Parque Arauco sumó Kennedy Oriente (70.000 m²) por compra.</w:t>
            </w:r>
          </w:p>
          <w:p>
            <w:pPr>
              <w:keepNext w:val="false"/>
              <w:pBdr>
                <w:bottom w:val="single" w:color="E9004B" w:sz="8" w:space="1"/>
              </w:pBdr>
              <w:spacing w:after="50" w:before="40"/>
            </w:pPr>
            <w:r>
              <w:rPr>
                <w:rFonts w:ascii="Arial" w:cs="Arial" w:eastAsia="Arial" w:hAnsi="Arial"/>
                <w:b/>
                <w:bCs/>
                <w:color w:val="14284B"/>
                <w:sz w:val="16"/>
                <w:szCs w:val="16"/>
              </w:rPr>
              <w:t xml:space="preserve">A. PARTICIPACIÓN DENTRO DEL TRÍO, 2T22-2T26 (% DEL GLA)</w:t>
            </w:r>
          </w:p>
          <w:p>
            <w:pPr>
              <w:keepNext w:val="false"/>
              <w:spacing w:after="20" w:before="0" w:line="240" w:lineRule="auto"/>
            </w:pPr>
            <w:r>
              <w:drawing>
                <wp:inline distT="0" distB="0" distL="0" distR="0">
                  <wp:extent cx="35814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581400" cy="2781300"/>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Fuente: reportes de resultados 2T22-2T26 de las tres empresas; análisis del equipo.</w:t>
            </w:r>
          </w:p>
          <w:p>
            <w:pPr>
              <w:keepNext w:val="false"/>
            </w:pPr>
          </w:p>
        </w:tc>
      </w:tr>
    </w:tbl>
    <w:p>
      <w:pPr>
        <w:keepNext w:val="false"/>
        <w:pBdr>
          <w:bottom w:val="single" w:color="14284B" w:sz="12" w:space="2"/>
        </w:pBdr>
        <w:spacing w:after="70" w:before="0"/>
      </w:pPr>
      <w:r>
        <w:rPr>
          <w:rFonts w:ascii="Arial" w:cs="Arial" w:eastAsia="Arial" w:hAnsi="Arial"/>
          <w:b/>
          <w:bCs/>
          <w:color w:val="14284B"/>
          <w:sz w:val="24"/>
          <w:szCs w:val="24"/>
        </w:rPr>
        <w:t xml:space="preserve">ANEXO 6: CINCO FUERZAS DE PORTER</w:t>
      </w:r>
    </w:p>
    <w:p>
      <w:pPr>
        <w:keepNext w:val="false"/>
        <w:shd w:fill="EEF1F6" w:color="auto" w:val="clear"/>
        <w:spacing w:after="80" w:line="228" w:lineRule="auto"/>
        <w:jc w:val="both"/>
      </w:pPr>
      <w:r>
        <w:rPr>
          <w:rFonts w:ascii="Arial" w:cs="Arial" w:eastAsia="Arial" w:hAnsi="Arial"/>
          <w:color w:val="1A1A1A"/>
          <w:sz w:val="16"/>
          <w:szCs w:val="16"/>
        </w:rPr>
        <w:t xml:space="preserve">Industria atractiva: con notas enteras por país ponderadas por el GLA de Mallplaza, la única fuerza intensa es la rivalidad (4), que se da en experiencia y activos y no en precio, ya que en el 2T26 los arriendos en mismas tiendas subieron en Chile en los tres operadores (tabla B).</w:t>
      </w:r>
    </w:p>
    <w:p>
      <w:pPr>
        <w:keepNext w:val="false"/>
        <w:pBdr>
          <w:bottom w:val="single" w:color="E9004B" w:sz="8" w:space="1"/>
        </w:pBdr>
        <w:spacing w:after="50" w:before="40"/>
      </w:pPr>
      <w:r>
        <w:rPr>
          <w:rFonts w:ascii="Arial" w:cs="Arial" w:eastAsia="Arial" w:hAnsi="Arial"/>
          <w:b/>
          <w:bCs/>
          <w:color w:val="14284B"/>
          <w:sz w:val="16"/>
          <w:szCs w:val="16"/>
        </w:rPr>
        <w:t xml:space="preserve">A. NOTAS POR PAÍS Y EVIDENCIA PRINCIPAL (1 = FUERZA DÉBIL; 5 = FUERZA INTENSA)</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500"/>
        <w:gridCol w:w="600"/>
        <w:gridCol w:w="560"/>
        <w:gridCol w:w="780"/>
        <w:gridCol w:w="560"/>
        <w:gridCol w:w="7506"/>
      </w:tblGrid>
      <w:tr>
        <w:trPr>
          <w:tblHeader/>
        </w:trPr>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Fuerza</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Perú</w:t>
            </w:r>
          </w:p>
        </w:tc>
        <w:tc>
          <w:tcPr>
            <w:tcW w:type="dxa" w:w="7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75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Evidencia principal</w:t>
            </w:r>
          </w:p>
        </w:tc>
      </w:tr>
      <w:tr>
        <w:trPr>
          <w:cantSplit w:val="false"/>
        </w:trPr>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Rivalidad</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5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CR3 76% / 37% / 13%; carrera de reinversión en experiencia; compra de activos (Minka, Plaza Central; anunciadas Quilín y Chicureo); oferta que alcanza al consumo en 2027. Participaciones estables y márgenes de 71-90%. Sin guerra de precios: SSR/SAR positivos en Chile (tabla B).</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Nuevos entrantes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Poder de los locatarios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Poder de los proveedores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Sustitutos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keepNext w:val="false"/>
        <w:spacing w:after="0" w:before="10" w:line="216" w:lineRule="auto"/>
      </w:pPr>
      <w:r>
        <w:rPr>
          <w:rFonts w:ascii="Arial" w:cs="Arial" w:eastAsia="Arial" w:hAnsi="Arial"/>
          <w:i/>
          <w:iCs/>
          <w:color w:val="5F5F5F"/>
          <w:sz w:val="11"/>
          <w:szCs w:val="11"/>
        </w:rPr>
        <w:t xml:space="preserve">Fuente: análisis del equipo. Nota final = promedio ponderado por GLA de Mallplaza al 2Q26 (Chile 61,9%, Perú 26,2%, Colombia 11,9%), redondeado al entero. En nuevos entrantes el ponderado queda en el límite (1,5) y el equipo lo fija en 2 por las menores barreras de entrada en Perú y Colombia.</w:t>
      </w:r>
    </w:p>
    <w:p>
      <w:pPr>
        <w:keepNext w:val="false"/>
        <w:pBdr>
          <w:bottom w:val="single" w:color="E9004B" w:sz="8" w:space="1"/>
        </w:pBdr>
        <w:spacing w:after="50" w:before="120"/>
      </w:pPr>
      <w:r>
        <w:rPr>
          <w:rFonts w:ascii="Arial" w:cs="Arial" w:eastAsia="Arial" w:hAnsi="Arial"/>
          <w:b/>
          <w:bCs/>
          <w:color w:val="14284B"/>
          <w:sz w:val="16"/>
          <w:szCs w:val="16"/>
        </w:rPr>
        <w:t xml:space="preserve">B. INDICADORES DE PRECIO POR OPERADOR, 2T26</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900"/>
        <w:gridCol w:w="800"/>
        <w:gridCol w:w="2300"/>
        <w:gridCol w:w="2300"/>
        <w:gridCol w:w="3206"/>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Indicador</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Mallplaza</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Cenco Malls</w:t>
            </w:r>
          </w:p>
        </w:tc>
        <w:tc>
          <w:tcPr>
            <w:tcW w:type="dxa" w:w="32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Parque Arauco</w:t>
            </w:r>
          </w:p>
        </w:tc>
      </w:tr>
      <w:tr>
        <w:trPr>
          <w:cantSplit w:val="false"/>
        </w:trPr>
        <w:tc>
          <w:tcPr>
            <w:tcW w:type="dxa" w:w="2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Arriendo en mismas tiendas o áreas (var. a/a)</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+5,4%</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+0,8%</w:t>
            </w:r>
          </w:p>
        </w:tc>
        <w:tc>
          <w:tcPr>
            <w:tcW w:type="dxa" w:w="32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SAR +3,8%</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+4,7%</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+11,0%</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+3,0%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+7,5%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−9,9%</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+13,0%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 mensual por m² (var. a/a)</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28.618 (+6,6%)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 publica</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31.571 (+9,6%)</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66 (+10,0%)</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 publica</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68 (−0,1%)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84.790 (+8,0%)</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 publica</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125.932 (+10,3%)</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de ocupación (2T25)</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 (10,2%)</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 (8,8%)</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 (11,1%)*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(7,4%)</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 (8,8%)</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 (8,4%)*</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 (10,4%)</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 (7,5%)</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 (11,5%)*</w:t>
            </w:r>
          </w:p>
        </w:tc>
      </w:tr>
    </w:tbl>
    <w:p>
      <w:pPr>
        <w:keepNext w:val="false"/>
        <w:spacing w:after="0" w:before="10" w:line="216" w:lineRule="auto"/>
      </w:pPr>
      <w:r>
        <w:rPr>
          <w:rFonts w:ascii="Arial" w:cs="Arial" w:eastAsia="Arial" w:hAnsi="Arial"/>
          <w:i/>
          <w:iCs/>
          <w:color w:val="5F5F5F"/>
          <w:sz w:val="11"/>
          <w:szCs w:val="11"/>
        </w:rPr>
        <w:t xml:space="preserve">Fuente: Plaza S.A., Release 2Q26 (p.18); Cenco Malls, Presentación de Resultados 2T26 (p.17); Parque Arauco, Reporte de Resultados 2T26 (p.5, p.6 y p.21). Cada indicador según la definición de cada empresa: el SSR de Mallplaza considera arriendo fijo de Chile y la variación de la UF; el de Cenco incluye arriendo variable (Cenco 1T26: "SSR Chile acusa el efecto de menores ventas"); el SAR de Parque Arauco mide el arriendo recaudado en áreas arrendadas en ambos períodos. *Incluye gasto común y fondo de promoción: su nivel no es comparable, sí su variación. La variación del ingreso por m² de Mallplaza en Colombia (+8,0%) es cálculo del equipo: 84.790 / 78.545 − 1. Todo lo demás es dato publicado.</w:t>
      </w:r>
    </w:p>
    <w:p>
      <w:pPr>
        <w:keepNext w:val="false"/>
        <w:pBdr>
          <w:bottom w:val="single" w:color="14284B" w:sz="12" w:space="2"/>
        </w:pBdr>
        <w:spacing w:after="70" w:before="200"/>
      </w:pPr>
      <w:r>
        <w:rPr>
          <w:rFonts w:ascii="Arial" w:cs="Arial" w:eastAsia="Arial" w:hAnsi="Arial"/>
          <w:b/>
          <w:bCs/>
          <w:color w:val="14284B"/>
          <w:sz w:val="24"/>
          <w:szCs w:val="24"/>
        </w:rPr>
        <w:t xml:space="preserve">ANEXO 7: SUPUESTOS PRINCIPALES</w:t>
      </w:r>
    </w:p>
    <w:p>
      <w:pPr>
        <w:keepNext w:val="false"/>
        <w:shd w:fill="EEF1F6" w:color="auto" w:val="clear"/>
        <w:spacing w:after="80" w:line="228" w:lineRule="auto"/>
        <w:jc w:val="both"/>
      </w:pPr>
      <w:r>
        <w:rPr>
          <w:rFonts w:ascii="Arial" w:cs="Arial" w:eastAsia="Arial" w:hAnsi="Arial"/>
          <w:color w:val="1A1A1A"/>
          <w:sz w:val="16"/>
          <w:szCs w:val="16"/>
        </w:rPr>
        <w:t xml:space="preserve">Criterios usados para que las cifras sean comparables entre operadores y consistentes con los reportes oficiales al 2T26.</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800"/>
        <w:gridCol w:w="9706"/>
      </w:tblGrid>
      <w:tr>
        <w:trPr>
          <w:tblHeader/>
        </w:trPr>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Tema</w:t>
            </w:r>
          </w:p>
        </w:tc>
        <w:tc>
          <w:tcPr>
            <w:tcW w:type="dxa" w:w="97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considera solo a los operadores identificados en la slide 7, por lo que es un piso (el HHI real es igual o mayor); se clasifica con los umbrales de las Merger Guidelines DOJ/FTC 2023 (sobre 1.800 = altamente concentrado). Colombia pro forma: incluye Gran Plaza (adquisición anunciada de 179.667 m²; Release 2Q26); sin ella, la participación de Mallplaza sería 4,3%.</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Oferta vs demanda</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 GLA de los principales operadores en Chile ≈ GLA del trío sin oficinas ÷ 76% (participación del trío en ese universo, slide 7); no se dispone del GLA total del mercado, y la oferta del trío es una cota inferior de la oferta de la industria.</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por m²</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 Parque Arauco: se resta el NOI multifamily (503 MM CLP), cuyo tamaño se reporta en unidades y no en m²; efecto −0,7%, no cambia el orden.</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Contratos</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Perfil y duración ponderados por GLA. Cenco lo indica explícitamente; Parque Arauco presenta su perfil de vencimientos en % del GLA, pero no indica la base de su duración promedio; Mallplaza no publica la base. En ambos casos se asume GLA.</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Ventas reales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Plaza (Perú)</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ajustado del 2T26 de InRetail, segmento Shopping Malls (S/ 131 MM; excluye revaluación de propiedades de inversión) ÷ GLA total de 888.000 m² (InRetail, Corporate Presentation 2Q26, p.26 y p.29). Mallplaza Perú: EBITDA mensual por m² publicado (S/ 53) × 3 (Release 2Q26, p.18). No se comparan márgenes: InRetail calcula el suyo sobre renta neta.</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Fechas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keepNext w:val="false"/>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val="false"/>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keepNext w:val="false"/>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keepNext w:val="false"/>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keepNext w:val="false"/>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Liderazgo</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Participación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val="false"/>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keepNext w:val="false"/>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keepNext w:val="false"/>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MATRIZ DE RIESGO ESG</w:t>
      </w:r>
    </w:p>
    <w:p>
      <w:pPr>
        <w:keepNext w:val="false"/>
        <w:spacing w:after="30" w:before="20" w:line="228" w:lineRule="auto"/>
      </w:pPr>
      <w:r>
        <w:rPr>
          <w:rFonts w:ascii="Arial" w:cs="Arial" w:eastAsia="Arial" w:hAnsi="Arial"/>
          <w:b/>
          <w:bCs/>
          <w:color w:val="14284B"/>
          <w:sz w:val="14"/>
          <w:szCs w:val="14"/>
        </w:rPr>
        <w:t xml:space="preserve">Figura 8.5: </w:t>
      </w:r>
      <w:r>
        <w:rPr>
          <w:rFonts w:ascii="Arial" w:cs="Arial" w:eastAsia="Arial" w:hAnsi="Arial"/>
          <w:color w:val="14284B"/>
          <w:sz w:val="14"/>
          <w:szCs w:val="14"/>
        </w:rPr>
        <w:t xml:space="preserve">Matriz de factores ESG y su efecto en el caso de inversión</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Materialidad, horizonte, capacidad de absorber pérdidas y efecto neto son juicios del equipo. Marco adaptado del enfoque de S&amp;P Global Ratings para factores ESG de crédito. Fuente: Memoria Mallplaza 2025, Bloomberg, MSCI, Sustainalytics, S&amp;P Global; análisis del equipo.</w:t>
      </w:r>
    </w:p>
    <w:p>
      <w:pPr>
        <w:keepNext w:val="false"/>
        <w:pBdr>
          <w:bottom w:val="single" w:color="E9004B" w:sz="8" w:space="1"/>
        </w:pBdr>
        <w:spacing w:after="50" w:before="160"/>
      </w:pPr>
      <w:r>
        <w:rPr>
          <w:rFonts w:ascii="Arial" w:cs="Arial" w:eastAsia="Arial" w:hAnsi="Arial"/>
          <w:b/>
          <w:bCs/>
          <w:color w:val="14284B"/>
          <w:sz w:val="16"/>
          <w:szCs w:val="16"/>
        </w:rPr>
        <w:t xml:space="preserve">8. TRACK RECORD DEL EQUIPO EJECUTIVO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Nombre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Cargo en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Antigüedad</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Experiencia previa</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Perfil y responsabilidades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(desde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Perfil comercial; experiencia en integraciones regionales.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General (hasta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Conduce la compañía hasta 2025; amplia trayectoria en el retail latinoamericano.</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Administración y Finanzas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Experiencia internacional; su área lidera la estructura financiera y el ingreso a índices globales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Gerente de Tecnología</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 la modernización de las ventas omnicanal y de la ciberseguridad corporativa.</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Personas y Cultura</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Desde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Más de 20 años de trayectoria internacional en gestión de talento.</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de Desarrollo y Negocios</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años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del crecimiento mediante M&amp;A y desarrollos greenfield.</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Gerente Legal, Riesgos y Cumplimiento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años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Trayectoria en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Responsable legal corporativo y de la gestión de riesgos y cumplimiento.</w:t>
            </w:r>
          </w:p>
        </w:tc>
      </w:tr>
    </w:tbl>
    <w:p>
      <w:pPr>
        <w:keepNext w:val="false"/>
        <w:spacing w:after="0" w:before="10" w:line="216" w:lineRule="auto"/>
      </w:pPr>
      <w:r>
        <w:rPr>
          <w:rFonts w:ascii="Arial" w:cs="Arial" w:eastAsia="Arial" w:hAnsi="Arial"/>
          <w:color w:val="5F5F5F"/>
          <w:sz w:val="11"/>
          <w:szCs w:val="11"/>
        </w:rPr>
        <w:t xml:space="preserve">Fuente: información pública de la compañía; Punteo del equipo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50"/>
              <w:gridCol w:w="2350"/>
              <w:gridCol w:w="1375"/>
              <w:gridCol w:w="4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3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Ancla 2026E</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Inflación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Ocupación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del pipeline</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88.350 m² (2028, con 46.500 m² de otros proyectos en Chile); rampa 35/90/100%; 170.200 m² en total</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Memoria 2025 (p. 45)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continua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m²/año que abren desde 2029E (67% Chile / 33% Perú); USD 3.603/m² a IPC; capex 50% en t−2 y 50% en t−1 (desde 2027E); margen 80,7%; yield on cost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GLA orgánico prom. 2022, 2023, 2025; costo/m²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Tipo de cambio</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Margen EBITDA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2024–UDM 2T26; sin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0,704% de los ingresos desde 2S26E; 2026E = 1S26 real (2.993) + 2S26E (2.565)</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UDM 2T26 (4.766 / 677.333)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en caja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 tasa de Chile sobre todo el EBIT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Impuesto corriente 1S26; Perú/Colombia en Anexo 18</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de mantención + TI</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de los ingresos (2S26E: medio año)</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incremental: pipeline</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579 MM restantes a jun-26 (USD 445 MM de proyectos con fecha + USD 134 MM de otros proyectos en Chile), repartidos hasta la apertura (2S26E–28E)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Release 2T26, pipeline; Exhibits v7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Capex incremental: expansión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Expansión continua (arriba); capex incremental terminal = 0 (g real 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RONIC 5,3% &lt; WACC real 7,2%</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Apalancamiento</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de la deuda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 greenfield (Mallplaza Cali)</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0,7 MM UDM jun-26 vs USD 55,2 MM en 2023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Inmaterial</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Excluido: Gran Plaza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Hecho posterior: contrato del 31-jul-26 sujeto a la SIC (Nota 30); USD 376 MM a cap rate 9,4% (NOI UDM); ~−CLP 11/acción a nuestro cap rate (Anexo 18)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Posterior a la valoración (30-jun-26)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PwC Tax Summaries (jul-26);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125"/>
              <w:gridCol w:w="615"/>
              <w:gridCol w:w="615"/>
              <w:gridCol w:w="615"/>
              <w:gridCol w:w="615"/>
              <w:gridCol w:w="54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dic-23</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dic-24</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dic-25</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c>
                <w:tcPr>
                  <w:tcW w:type="dxa" w:w="5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 act.</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Activos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405,0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472,1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507,1</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y equivalentes</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Activos no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5.510,1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7.111,5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7.478,6</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Propiedades de inversión</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Activos totales</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4.796,3</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5.915,1</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7.583,6</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7.985,7</w:t>
                  </w:r>
                </w:p>
              </w:tc>
              <w:tc>
                <w:tcPr>
                  <w:tcW w:type="dxa" w:w="5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Pasivos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344,5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307,1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203,2</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Pasivos no corrientes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2.379,5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2.752,0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2.910,8</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financiera bruta (CP + LP)</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por impuesto diferido</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Patrimonio total</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3.191,0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4.524,6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4.871,7</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Patrimonio atribuible</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2.601,1</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3.157,9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4.482,9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4.820,9</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60,4%</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Análisis vertical: % de los activos totales a jun-26; el balance es 92% propiedades a valor razonable y los impuestos diferidos (CLP 1.314 mil MM) equivalen al 80% de la deuda bruta. Fuente: EEFF Plaza S.A. (CMF) dic-24, dic-25, jun-26.</w:t>
            </w:r>
          </w:p>
          <w:p>
            <w:pPr>
              <w:keepNext w:val="false"/>
              <w:spacing w:after="30" w:before="100" w:line="228" w:lineRule="auto"/>
            </w:pPr>
            <w:r>
              <w:rPr>
                <w:rFonts w:ascii="Arial" w:cs="Arial" w:eastAsia="Arial" w:hAnsi="Arial"/>
                <w:b/>
                <w:bCs/>
                <w:color w:val="14284B"/>
                <w:sz w:val="14"/>
                <w:szCs w:val="14"/>
              </w:rPr>
              <w:t xml:space="preserve">Anexo 10D: </w:t>
            </w:r>
            <w:r>
              <w:rPr>
                <w:rFonts w:ascii="Arial" w:cs="Arial" w:eastAsia="Arial" w:hAnsi="Arial"/>
                <w:color w:val="14284B"/>
                <w:sz w:val="14"/>
                <w:szCs w:val="14"/>
              </w:rPr>
              <w:t xml:space="preserve">Fuentes y usos de caja y variación del flujo operativo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750"/>
              <w:gridCol w:w="75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Flujo operativo</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Deuda nueva (bonos + préstamos)</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245,7</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57,9</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recibidos y otros</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fuentes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(PI + intangibles + PP&amp;E)</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Amortización de deuda</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332,2</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52,4</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Intereses pagados</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pagados</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Minoritarios y otros</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Aumento de caja (antes de FX)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89,0</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72,9</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usos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Cobertura del dividendo: FCF antes de deuda</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1,7x</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Cobertura tras amortización neta de deuda</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Compromisos contractuales de capex (Nota 11)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78,0</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Covenant DFN / patrimonio (≤ 2,0x; Nota 25)</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0,29x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0,26x</w:t>
                  </w:r>
                </w:p>
              </w:tc>
            </w:tr>
          </w:tbl>
          <w:tbl>
            <w:tblPr>
              <w:tblW w:type="dxa" w:w="460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Δ flujo operativo</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1S25</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Cobros por ventas y servicios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458,3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Pagos a proveedores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Pagos a empleados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Otros pagos operativos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Impuestos pagados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Otras entradas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Flujo operativo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186,3</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258,2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bl>
          <w:p>
            <w:pPr>
              <w:keepNext w:val="false"/>
              <w:spacing w:after="0" w:before="10" w:line="216" w:lineRule="auto"/>
              <w:jc w:val="both"/>
            </w:pPr>
            <w:r>
              <w:rPr>
                <w:rFonts w:ascii="Arial" w:cs="Arial" w:eastAsia="Arial" w:hAnsi="Arial"/>
                <w:color w:val="5F5F5F"/>
                <w:sz w:val="11"/>
                <w:szCs w:val="11"/>
              </w:rPr>
              <w:t xml:space="preserve">El alza de 1S26 viene de cobros (en parte saldos de diciembre: días de cobro de 66 a 50) e impuestos pagados menores; no se extrapola. FCF = flujo operativo − capex − intereses netos. Fuente: EEFF dic-25 y jun-26, estado de flujos directo; Notas 11 y 25.</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normalizado (utilidad distribuible)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ROIC − WACC real (7,2%), pp</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Capital de trabajo neto operativo / ingresos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Puente de margen (punto 2)</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Costos operativos (costo de ventas + GAV)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D&amp;A incluida en esos costos / ingresos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 1 − margen EBITDA</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23,0%</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19,5%</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 / EBITDA mensual por m² (CLP, UDM jun-26)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24.006 / 19.241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r>
          </w:tbl>
          <w:p>
            <w:pPr>
              <w:keepNext w:val="false"/>
              <w:spacing w:after="0" w:before="10" w:line="216" w:lineRule="auto"/>
              <w:jc w:val="both"/>
            </w:pPr>
            <w:r>
              <w:rPr>
                <w:rFonts w:ascii="Arial" w:cs="Arial" w:eastAsia="Arial" w:hAnsi="Arial"/>
                <w:color w:val="5F5F5F"/>
                <w:sz w:val="11"/>
                <w:szCs w:val="11"/>
              </w:rPr>
              <w:t xml:space="preserve">El ROIC es un rendimiento en caja sobre capital a valor razonable (sin la revalorización de las propiedades): se compara con la WACC real, no con la nominal. Los costos operativos incluyen la D&amp;A; sin ella son exactamente 1 − margen EBITDA. Apalancamiento jun-26 sobre EBITDA UDM; días de cobro dic-24 n.s. (Perú consolida un mes). Fuente: EEFF (CMF); Análisis Razonado 1S26; Release 2Q26 (p. 8; m²); análisis del equipo.</w:t>
            </w:r>
          </w:p>
          <w:p>
            <w:pPr>
              <w:keepNext w:val="false"/>
              <w:spacing w:after="30" w:before="100" w:line="228" w:lineRule="auto"/>
            </w:pPr>
            <w:r>
              <w:rPr>
                <w:rFonts w:ascii="Arial" w:cs="Arial" w:eastAsia="Arial" w:hAnsi="Arial"/>
                <w:b/>
                <w:bCs/>
                <w:color w:val="14284B"/>
                <w:sz w:val="14"/>
                <w:szCs w:val="14"/>
              </w:rPr>
              <w:t xml:space="preserve">Anexo 11B: </w:t>
            </w:r>
            <w:r>
              <w:rPr>
                <w:rFonts w:ascii="Arial" w:cs="Arial" w:eastAsia="Arial" w:hAnsi="Arial"/>
                <w:color w:val="14284B"/>
                <w:sz w:val="14"/>
                <w:szCs w:val="14"/>
              </w:rPr>
              <w:t xml:space="preserve">Puente DFN/EBITDA dic-24 → jun-26 (CLP mil MM)</w:t>
            </w:r>
          </w:p>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325"/>
              <w:gridCol w:w="700"/>
              <w:gridCol w:w="7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DFN</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EBITDA</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x</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dic-24 reportado (Perú consolida un mes)</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Perímetro: Perú 12 meses en vez de 1 (UDM jun-26: 104,3 − 9,5)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475,5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3,03x</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−0,75x</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 del EBITDA del resto (a jun-26)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2,64x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−0,39x</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Menor DFN = jun-26 reportado</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1.285,7</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2,36x</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−0,28x</w:t>
                  </w:r>
                </w:p>
              </w:tc>
            </w:tr>
          </w:tbl>
          <w:p>
            <w:pPr>
              <w:keepNext w:val="false"/>
              <w:spacing w:after="0" w:before="10" w:line="216" w:lineRule="auto"/>
              <w:jc w:val="both"/>
            </w:pPr>
            <w:r>
              <w:rPr>
                <w:rFonts w:ascii="Arial" w:cs="Arial" w:eastAsia="Arial" w:hAnsi="Arial"/>
                <w:color w:val="5F5F5F"/>
                <w:sz w:val="11"/>
                <w:szCs w:val="11"/>
              </w:rPr>
              <w:t xml:space="preserve">Perú = ingresos − costo de ventas − GAV del segmento (EEFF dic-24 Nota 31; dic-25 Nota 25; jun-26 Nota 24). Usar el UDM jun-26 como proxy del año completo hace de 3,03x una cota inferior del pro forma de 2024.</w:t>
            </w:r>
          </w:p>
          <w:p>
            <w:pPr>
              <w:keepNext w:val="false"/>
              <w:spacing w:after="30" w:before="100" w:line="228" w:lineRule="auto"/>
            </w:pPr>
            <w:r>
              <w:rPr>
                <w:rFonts w:ascii="Arial" w:cs="Arial" w:eastAsia="Arial" w:hAnsi="Arial"/>
                <w:b/>
                <w:bCs/>
                <w:color w:val="14284B"/>
                <w:sz w:val="14"/>
                <w:szCs w:val="14"/>
              </w:rPr>
              <w:t xml:space="preserve">Anexo 11C: </w:t>
            </w:r>
            <w:r>
              <w:rPr>
                <w:rFonts w:ascii="Arial" w:cs="Arial" w:eastAsia="Arial" w:hAnsi="Arial"/>
                <w:color w:val="14284B"/>
                <w:sz w:val="14"/>
                <w:szCs w:val="14"/>
              </w:rPr>
              <w:t xml:space="preserve">Cifras del texto: cálculo y fuente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125"/>
              <w:gridCol w:w="650"/>
              <w:gridCol w:w="1450"/>
            </w:tblGrid>
            <w:tr>
              <w:trPr>
                <w:tblHeader/>
              </w:trPr>
              <w:tc>
                <w:tcPr>
                  <w:tcW w:type="dxa" w:w="3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Cifra</w:t>
                  </w:r>
                </w:p>
              </w:tc>
              <w:tc>
                <w:tcPr>
                  <w:tcW w:type="dxa" w:w="6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Valor</w:t>
                  </w:r>
                </w:p>
              </w:tc>
              <w:tc>
                <w:tcPr>
                  <w:tcW w:type="dxa" w:w="1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Fuente</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Alza de la PI de Chile por valor razonable (1.141,2 / PI Chile dic-24 3.933,0)</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29,0%</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EEFF dic-25, Nota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Efecto de la tasa: (6,62% − 0,5%) / (5,64% − 0,5%) − 1, perpetuidad</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Nota 11: puntos medios dic-24 / dic-25</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Participación de la tasa en el alza («dos tercios»)</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Cálculo</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 2025 por perímetro: (121,3 − 13,6) / 494,6</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 pp</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EEFF dic-25, Nota 25</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 2025 sin Perú: 532,6 / 481,0 − 1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10,7%</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EEFF dic-25, Nota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2026E (704,0) vs consenso BEst (701,7; 13 analistas)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EE/ANR, 17-oct-26</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2026E (561,3) vs consenso BEst (569,1)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 17-oct-26</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2025 con el mismo método que los pares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10,0%</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Anexo 14</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p>
            <w:pPr>
              <w:keepNext w:val="false"/>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05"/>
              <w:tblBorders>
                <w:top w:val="none" w:color="FFFFFF" w:sz="0"/>
                <w:left w:val="none" w:color="FFFFFF" w:sz="0"/>
                <w:bottom w:val="none" w:color="FFFFFF" w:sz="0"/>
                <w:right w:val="none" w:color="FFFFFF" w:sz="0"/>
                <w:insideH w:val="none" w:color="FFFFFF" w:sz="0"/>
                <w:insideV w:val="none" w:color="FFFFFF" w:sz="0"/>
              </w:tblBorders>
            </w:tblPr>
            <w:tblGrid>
              <w:gridCol w:w="1815"/>
              <w:gridCol w:w="565"/>
              <w:gridCol w:w="565"/>
              <w:gridCol w:w="565"/>
              <w:gridCol w:w="565"/>
              <w:gridCol w:w="565"/>
              <w:gridCol w:w="565"/>
            </w:tblGrid>
            <w:tr>
              <w:trPr>
                <w:tblHeader/>
              </w:trPr>
              <w:tc>
                <w:tcPr>
                  <w:tcW w:type="dxa" w:w="18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mil MM</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Chile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619,6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Perú</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Colombia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Eliminaciones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Ingresos — expansión continua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23,0</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Ingresos</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826,7</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886,8</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935,6</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Crecimiento</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8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659,2</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707,4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746,3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783,6</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Margen EBITDA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555,8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776,7</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Tasa de impuesto en caja</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1S26 real (sin apertura)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mantención + TI</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(52,8)</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incremental — pipeline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(130,5)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(155,4)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Capex incremental — expansión continua</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(95,3)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(101,1)</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(104,2)</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total</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(234,1)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(296,2)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(156,9)</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capital de trabajo</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460,4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491,3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Utilidad distribuible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454,4</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Dividendos ordinarios (40%)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(175,3)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(176,5)</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Distribuciones adicionales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(412,6)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(416,5)</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1S26 real + 2S26E: D&amp;A 3,0 + 2,6; el capex de 1S26 (84,2) no tiene apertura por tipo en el release; Δ capital de trabajo y distribuciones adicionales cubren solo 2S26E. FFO = (EBITDA − costo financiero neto) × (1 − impuesto en caja), antes de minoritarios (~1%); utilidad distribuible = FFO − reajuste UF. Fuente: modelo v4 (hojas Forecast_Base, DCF, Deuda y Expansion).</w:t>
            </w:r>
          </w:p>
          <w:p>
            <w:pPr>
              <w:keepNext w:val="false"/>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Con el mismo ajuste,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325"/>
              <w:gridCol w:w="933"/>
              <w:gridCol w:w="933"/>
              <w:gridCol w:w="1034"/>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propiedades de inversión (consolidado)</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reportado</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normalizado — mismo método para los tres</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normalizado — Mallplaza con utilidad distribuible</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(deuda neta / PI)</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con inversiones en JV/asociadas en el denominador</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40,6%</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DFN / EBITDA (x)</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Normalizado = utilidad atribuible − revalorización × (1 − 27%) × % atribuible a la controladora; revalorización = resultado operacional − (EBITDA − D&amp;A) en Mallplaza y Parque Arauco, y −otros ingresos op. netos en Cencosud Shopping. Límites: 27% uniforme (Perú 29,5%, Colombia 35%); EBITDA de Cencosud = ingresos × margen ajustado de Bloomberg; los tres operan en Chile, Perú y Colombia, con pesos distintos. Inversión de Parque Arauco en asociadas: CLP 209,2 mil MM (dic-25). Fuente: EEFF (CMF); Bloomberg FA (PARAUCO CI, CENCOMAL CI; 28-sep-26); análisis del equipo.</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keepNext w:val="false"/>
        <w:shd w:fill="EEF1F6" w:color="auto" w:val="clear"/>
        <w:spacing w:after="40" w:line="216" w:lineRule="auto"/>
        <w:jc w:val="both"/>
      </w:pPr>
      <w:r>
        <w:rPr>
          <w:rFonts w:ascii="Arial" w:cs="Arial" w:eastAsia="Arial" w:hAnsi="Arial"/>
          <w:color w:val="1A1A1A"/>
          <w:sz w:val="14"/>
          <w:szCs w:val="14"/>
        </w:rPr>
        <w:t xml:space="preserve">FCFF en CLP nominales desde el 30-jun-26, con convención de mitad de período y la WACC de cada período (Anexo 19). El capex se separa en mantención y TI (5,5% de los ingresos) y capex incremental (pipeline en curso y expansión continua). El valor terminal usa el FCFF 2032E con g de 3,0% nominal (0% real: el capex incremental terminal es cero porque el RONIC queda bajo la WACC real) y la WACC terminal de 10,41%, e incluye 108.301 m² de GLA que maduran después de 2031. Explica el 78% del EV. Las secciones D y E desglosan cada línea y prueban que cuadra con el DCF.</w:t>
      </w:r>
    </w:p>
    <w:p>
      <w:pPr>
        <w:keepNext w:val="false"/>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pipeline en curso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del período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1.391</w:t>
                  </w:r>
                </w:p>
              </w:tc>
            </w:tr>
          </w:tbl>
          <w:p/>
        </w:tc>
      </w:tr>
    </w:tbl>
    <w:p>
      <w:pPr>
        <w:keepNext w:val="false"/>
        <w:spacing w:after="0" w:before="10" w:line="216" w:lineRule="auto"/>
      </w:pPr>
      <w:r>
        <w:rPr>
          <w:rFonts w:ascii="Arial" w:cs="Arial" w:eastAsia="Arial" w:hAnsi="Arial"/>
          <w:color w:val="5F5F5F"/>
          <w:sz w:val="11"/>
          <w:szCs w:val="11"/>
        </w:rPr>
        <w:t xml:space="preserve">Valor terminal al 31-dic-31: CLP 7.292.232 MM (cap rate implícito del VT 11,3%; EV/EBITDA UDM implícito del EV 9,9x). La deuda neta de Bloomberg (CLP 1.311.569 MM, usada en múltiplos) difiere de la DFN en los pasivos por arrendamiento NIIF 16 (CLP 25.828 MM a jun-26). Fuente: modelo v4, hojas DCF y Sensibilidad; 2.190 MM de acciones.</w:t>
      </w:r>
    </w:p>
    <w:p>
      <w:pPr>
        <w:keepNext w:val="false"/>
        <w:pBdr>
          <w:bottom w:val="single" w:color="E9004B" w:sz="8" w:space="1"/>
        </w:pBdr>
        <w:spacing w:after="50" w:before="100"/>
      </w:pPr>
      <w:r>
        <w:rPr>
          <w:rFonts w:ascii="Arial" w:cs="Arial" w:eastAsia="Arial" w:hAnsi="Arial"/>
          <w:b/>
          <w:bCs/>
          <w:color w:val="14284B"/>
          <w:sz w:val="16"/>
          <w:szCs w:val="16"/>
        </w:rPr>
        <w:t xml:space="preserve">D. DESGLOSE DE LAS LÍNEAS DEL DCF (CLP MM SALVO INDICACIÓN)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Ingresos: base + expansión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(motor operativo)</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Expansión continua (cohortes desde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Perú / Colombia, año calendario (CLP mil MM)</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Puente al terminal: + maduración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EBITDA y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base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EBITDA de la expansión (margen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Chile / Perú / Colombia, año calendario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0,704% × ingresos totales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Impuesto, capex y capital de trabajo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Impuesto = EBIT × tasa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que abre en el año (m²; pipeline y expansión)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total / ingresos</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 ingresos</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Δ ingresos para capital de trabajo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bl>
    <w:p>
      <w:pPr>
        <w:keepNext w:val="false"/>
        <w:spacing w:after="0" w:before="10" w:line="216" w:lineRule="auto"/>
      </w:pPr>
      <w:r>
        <w:rPr>
          <w:rFonts w:ascii="Arial" w:cs="Arial" w:eastAsia="Arial" w:hAnsi="Arial"/>
          <w:color w:val="5F5F5F"/>
          <w:sz w:val="11"/>
          <w:szCs w:val="11"/>
        </w:rPr>
        <w:t xml:space="preserve">Ingresos por país del Anexo 13 (año calendario; precisión 0,1 mil MM). Capex 1S26 sin apertura por tipo: el release solo da la apertura UDM (USD 132,5 MM: mantención 40,0; TI y otros 10,2; brownfield 52,5; reconversión 29,1; greenfield 0,7). Yield on cost 7,3%; RONIC real 5,3% vs WACC real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 CONTROL DE CUADRATURA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Línea: desglose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Máx. |dif.| 2S26E–Terminal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totales</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total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operacional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total (mantención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VP del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terminal / VP del VT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por acción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LECTURA</w:t>
            </w:r>
          </w:p>
          <w:p>
            <w:pPr>
              <w:keepNext w:val="false"/>
              <w:shd w:fill="EEF1F6" w:color="auto" w:val="clear"/>
              <w:spacing w:after="40" w:line="216" w:lineRule="auto"/>
              <w:jc w:val="both"/>
            </w:pPr>
            <w:r>
              <w:rPr>
                <w:rFonts w:ascii="Arial" w:cs="Arial" w:eastAsia="Arial" w:hAnsi="Arial"/>
                <w:color w:val="1A1A1A"/>
                <w:sz w:val="14"/>
                <w:szCs w:val="14"/>
              </w:rPr>
              <w:t xml:space="preserve">Máxima diferencia absoluta en todas las líneas y períodos: 0. El desglose solo reordena el DCF: EV CLP 5.407.032 MM, valor DCF CLP 1.859 y precio objetivo CLP 2.077. El capex incremental (pipeline + expansión) pesa 38%–36% de los ingresos en 2S26E–2027E y ~11% desde 2029E; la mantención, 5,5%. El terminal solo financia mantención: crecer con un RONIC real de 5,3% bajo una WACC real de 7,2% restaría valor (Figura 23).</w:t>
            </w:r>
          </w:p>
          <w:p>
            <w:pPr>
              <w:keepNext w:val="false"/>
              <w:shd w:fill="EEF1F6" w:color="auto" w:val="clear"/>
              <w:spacing w:after="40" w:line="216" w:lineRule="auto"/>
              <w:jc w:val="both"/>
            </w:pPr>
            <w:r>
              <w:rPr>
                <w:rFonts w:ascii="Arial" w:cs="Arial" w:eastAsia="Arial" w:hAnsi="Arial"/>
                <w:color w:val="1A1A1A"/>
                <w:sz w:val="14"/>
                <w:szCs w:val="14"/>
              </w:rPr>
              <w:t xml:space="preserve">El valor terminal parte de los ingresos 2031E (982.334), suma la maduración de la expansión ya financiada (+40.818) e indexa por inflación (+30.006) hasta 1.030.197; el FCFF 2032E = NOPAT 594.732 + D&amp;A 7.249 − mantención 56.661 − capital de trabajo 4.682 = 540.638.</w:t>
            </w:r>
          </w:p>
        </w:tc>
      </w:tr>
    </w:tbl>
    <w:p>
      <w:pPr>
        <w:keepNext w:val="false"/>
        <w:pBdr>
          <w:bottom w:val="single" w:color="14284B" w:sz="18" w:space="2"/>
        </w:pBdr>
        <w:spacing w:after="80" w:before="200"/>
      </w:pPr>
      <w:r>
        <w:rPr>
          <w:rFonts w:ascii="Arial" w:cs="Arial" w:eastAsia="Arial" w:hAnsi="Arial"/>
          <w:b/>
          <w:bCs/>
          <w:color w:val="14284B"/>
          <w:sz w:val="30"/>
          <w:szCs w:val="30"/>
        </w:rPr>
        <w:t xml:space="preserve">ANEXO 16: SUPUESTOS DE LA PROYECCIÓN</w:t>
      </w:r>
    </w:p>
    <w:p>
      <w:pPr>
        <w:keepNext w:val="false"/>
        <w:shd w:fill="EEF1F6" w:color="auto" w:val="clear"/>
        <w:spacing w:after="40" w:line="216" w:lineRule="auto"/>
        <w:jc w:val="both"/>
      </w:pPr>
      <w:r>
        <w:rPr>
          <w:rFonts w:ascii="Arial" w:cs="Arial" w:eastAsia="Arial" w:hAnsi="Arial"/>
          <w:color w:val="1A1A1A"/>
          <w:sz w:val="14"/>
          <w:szCs w:val="14"/>
        </w:rPr>
        <w:t xml:space="preserve">El forecast base sigue el motor operativo del equipo con el pipeline completo con fecha (170.200 m², pipeline anunciado hasta 2028, incluidos 46.500 m² de otros proyectos en Chile); desde 2029 se suma una expansión continua al ritmo histórico de apertura. Los ingresos 2026E son año calendario; el período 2S26E descuenta el 1S26 real (CLP 339.530 MM de ingresos).</w:t>
      </w:r>
    </w:p>
    <w:p>
      <w:pPr>
        <w:keepNext w:val="false"/>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proyectos en curso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proyectos en curso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expansión continua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total</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201.656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60.085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Capex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que abre en el año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en curso (Release 2Q26; Memoria 2025)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Desembolso del capex (desde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incremental terminal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 (g real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ingresos (UDM 2T26)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pBdr>
          <w:bottom w:val="single" w:color="E9004B" w:sz="8" w:space="1"/>
        </w:pBdr>
        <w:spacing w:after="50" w:before="100"/>
      </w:pPr>
      <w:r>
        <w:rPr>
          <w:rFonts w:ascii="Arial" w:cs="Arial" w:eastAsia="Arial" w:hAnsi="Arial"/>
          <w:b/>
          <w:bCs/>
          <w:color w:val="14284B"/>
          <w:sz w:val="16"/>
          <w:szCs w:val="16"/>
        </w:rPr>
        <w:t xml:space="preserve">D. CALENDARIO DE LA DEUDA (CLP MM; HOJA DEUDA)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 de apertura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Costo financiero neto, después de impuestos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Reajuste UF, después de impuestos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Dividendos ordinarios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Distribución adicional (recompra / dividendo extra)</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DFN de cierre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 / EBITDA de cierre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de cierre (caja constante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3.090.244</w:t>
            </w:r>
          </w:p>
        </w:tc>
      </w:tr>
    </w:tbl>
    <w:p>
      <w:pPr>
        <w:keepNext w:val="false"/>
        <w:spacing w:after="0" w:before="10" w:line="216" w:lineRule="auto"/>
      </w:pPr>
      <w:r>
        <w:rPr>
          <w:rFonts w:ascii="Arial" w:cs="Arial" w:eastAsia="Arial" w:hAnsi="Arial"/>
          <w:color w:val="5F5F5F"/>
          <w:sz w:val="11"/>
          <w:szCs w:val="11"/>
        </w:rPr>
        <w:t xml:space="preserve">DFN(t) = DFN(t−1) − FCFF + costo financiero y reajuste UF después de impuestos + dividendos ordinarios + distribución adicional, que lleva la DFN a la trayectoria objetivo (2,36x → 3,5x). Costo financiero: 3,08% de la DFN + 25 pb por vuelta sobre 2,36x; reajuste UF sobre 79% de la deuda a 3,0%. Vencimientos de bonos: Figura 18. Fuente: modelo v4 (Release 2Q26; EEFF dic-25; Exhibits v7).</w:t>
      </w:r>
    </w:p>
    <w:p>
      <w:pPr>
        <w:keepNext w:val="false"/>
        <w:pBdr>
          <w:bottom w:val="single" w:color="14284B" w:sz="18" w:space="2"/>
        </w:pBdr>
        <w:spacing w:after="80" w:before="0"/>
      </w:pPr>
      <w:r>
        <w:rPr>
          <w:rFonts w:ascii="Arial" w:cs="Arial" w:eastAsia="Arial" w:hAnsi="Arial"/>
          <w:b/>
          <w:bCs/>
          <w:color w:val="14284B"/>
          <w:sz w:val="30"/>
          <w:szCs w:val="30"/>
        </w:rPr>
        <w:t xml:space="preserve">ANEXO 17: MÚLTIPLOS COMPARABLES</w:t>
      </w:r>
    </w:p>
    <w:p>
      <w:pPr>
        <w:keepNext w:val="false"/>
        <w:shd w:fill="EEF1F6" w:color="auto" w:val="clear"/>
        <w:spacing w:after="40" w:line="216" w:lineRule="auto"/>
        <w:jc w:val="both"/>
      </w:pPr>
      <w:r>
        <w:rPr>
          <w:rFonts w:ascii="Arial" w:cs="Arial" w:eastAsia="Arial" w:hAnsi="Arial"/>
          <w:color w:val="1A1A1A"/>
          <w:sz w:val="14"/>
          <w:szCs w:val="14"/>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val="false"/>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v4, hojas Comparables y Precio_Objetivo; Figuras_Valuacion, V7.</w:t>
      </w:r>
    </w:p>
    <w:p>
      <w:pPr>
        <w:keepNext w:val="false"/>
        <w:pBdr>
          <w:bottom w:val="single" w:color="14284B" w:sz="18" w:space="2"/>
        </w:pBdr>
        <w:spacing w:after="80" w:before="200"/>
      </w:pPr>
      <w:r>
        <w:rPr>
          <w:rFonts w:ascii="Arial" w:cs="Arial" w:eastAsia="Arial" w:hAnsi="Arial"/>
          <w:b/>
          <w:bCs/>
          <w:color w:val="14284B"/>
          <w:sz w:val="30"/>
          <w:szCs w:val="30"/>
        </w:rPr>
        <w:t xml:space="preserve">ANEXO 18: ESCENARIOS Y ROBUSTEZ</w:t>
      </w:r>
    </w:p>
    <w:p>
      <w:pPr>
        <w:keepNext w:val="false"/>
        <w:shd w:fill="EEF1F6" w:color="auto" w:val="clear"/>
        <w:spacing w:after="40" w:line="216" w:lineRule="auto"/>
        <w:jc w:val="both"/>
      </w:pPr>
      <w:r>
        <w:rPr>
          <w:rFonts w:ascii="Arial" w:cs="Arial" w:eastAsia="Arial" w:hAnsi="Arial"/>
          <w:color w:val="1A1A1A"/>
          <w:sz w:val="14"/>
          <w:szCs w:val="14"/>
        </w:rPr>
        <w:t xml:space="preserve">Ningún escenario ni método alternativo alcanza el precio de CLP 3.555. Los escenarios se calculan con la réplica del DCF (reproduce exactamente el valor base) y el precio objetivo mantiene el 80% DCF y el valor por múltiplos de CLP 2.951. Bear es todo lo que sale mal a la vez; bull, todo lo que sale bien; ambos con las mismas palancas del tornado de Riesgos. La ponderación por probabilidad es un cross-check: el precio objetivo sigue siendo el del caso base.</w:t>
      </w:r>
    </w:p>
    <w:p>
      <w:pPr>
        <w:keepNext w:val="false"/>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5666"/>
        <w:gridCol w:w="600"/>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Escenario</w:t>
            </w:r>
          </w:p>
        </w:tc>
        <w:tc>
          <w:tcPr>
            <w:tcW w:type="dxa" w:w="56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Supuestos (todos a la vez)</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Prob.</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objetivo</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Todo sale mal: WACC nominal +100 pb en todos los períodos; margen EBITDA 75,8%, ocupación 95,1%, arriendo mismas tiendas 2027–28 3,7%, ventas de locatarios 3,7%, crecimiento real 2029–31 en el piso de la Nota 11, visitas 5,6%, capex de mantención 6,6%</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Central: modelo v4; WACC nominal 10,54% → 10,41%; g 3,0%; margen 79,7%</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Todo sale bien: WACC nominal −100 pb; margen 81,3%, ocupación 96,6%, arriendo mismas tiendas 9,4%, ventas de locatarios 9,9%, crecimiento real en el techo de la Nota 11, visitas 17,3%, capex de mantención 4,8%; impuesto en caja con techo de 23%</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Ponderado</w:t>
            </w:r>
          </w:p>
        </w:tc>
        <w:tc>
          <w:tcPr>
            <w:tcW w:type="dxa" w:w="56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 / 60% / 10% (matriz de riesgo: FR1 alta, OR1 media; baja 10%, media 30%, alta 50%)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2.001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−43,7%</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Tasadores</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w:t>
            </w:r>
          </w:p>
        </w:tc>
      </w:tr>
    </w:tbl>
    <w:p>
      <w:pPr>
        <w:keepNext w:val="false"/>
        <w:spacing w:after="0" w:before="10" w:line="216" w:lineRule="auto"/>
      </w:pPr>
      <w:r>
        <w:rPr>
          <w:rFonts w:ascii="Arial" w:cs="Arial" w:eastAsia="Arial" w:hAnsi="Arial"/>
          <w:color w:val="5F5F5F"/>
          <w:sz w:val="11"/>
          <w:szCs w:val="11"/>
        </w:rPr>
        <w:t xml:space="preserve">Pesos (supuestos del equipo): la matriz de riesgo da FR1 (tasas) probabilidad alta y OR1 (deterioro operacional) media; se traducen a baja 10%, media 30% y alta 50% a 12 meses. Bear = FR1 y OR1 ocurriendo juntas (correlación perfecta), con la probabilidad del menos probable: 30%. Bull = sus contrarios (alta ↔ baja, media ↔ media): 10%. Base = el resto: 60%. Fuente: página de Riesgos (matriz); matriz_datos.py.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implícita en el precio: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pPr>
              <w:keepNext w:val="false"/>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EFECTO DE CADA PALANCA SOLA EN EL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Palanca (extremos del tornado)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Margen EBITDA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Ocupación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Arriendo en mismas tiendas 2027–28 (precio)</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Crecimiento real del arriendo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de mantención + TI</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Visitas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Ventas de locatarios 2027–28 (renta variable)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nominal ±100 pb</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23% (solo bull)</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+136</w:t>
                  </w:r>
                </w:p>
              </w:tc>
            </w:tr>
          </w:tbl>
          <w:p>
            <w:pPr>
              <w:keepNext w:val="false"/>
              <w:pBdr>
                <w:bottom w:val="single" w:color="E9004B" w:sz="8" w:space="1"/>
              </w:pBdr>
              <w:spacing w:after="50" w:before="100"/>
            </w:pPr>
            <w:r>
              <w:rPr>
                <w:rFonts w:ascii="Arial" w:cs="Arial" w:eastAsia="Arial" w:hAnsi="Arial"/>
                <w:b/>
                <w:bCs/>
                <w:color w:val="14284B"/>
                <w:sz w:val="16"/>
                <w:szCs w:val="16"/>
              </w:rPr>
              <w:t xml:space="preserve">D. SENSIBILIDADES PEDIDAS POR LA REVISIÓN (FUERA DEL CASO BASE)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Sensibilidad</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Precio obj.</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precio</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Impuesto por jurisdicción: Perú 29,5%, Colombia 35% (tasa ponderada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al run-rate de 1S26 (0,88% vs 0,704% de los ingresos)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Gran Plaza incluida: USD 376 MM a cap rate 9,4% (orden de magnitud)</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−41,8%</w:t>
                  </w:r>
                </w:p>
              </w:tc>
            </w:tr>
          </w:tbl>
          <w:p/>
        </w:tc>
      </w:tr>
    </w:tbl>
    <w:p>
      <w:pPr>
        <w:keepNext w:val="false"/>
        <w:spacing w:after="0" w:before="10" w:line="216" w:lineRule="auto"/>
      </w:pPr>
      <w:r>
        <w:rPr>
          <w:rFonts w:ascii="Arial" w:cs="Arial" w:eastAsia="Arial" w:hAnsi="Arial"/>
          <w:color w:val="5F5F5F"/>
          <w:sz w:val="11"/>
          <w:szCs w:val="11"/>
        </w:rPr>
        <w:t xml:space="preserve">Bear y bull: cada palanca en el mínimo/máximo histórico del tornado de Riesgos (Earnings Releases 4Q23 y 3Q25 para el margen; Nota 11 para el crecimiento real de largo plazo) en todos los años; el bull no recalcula el escudo fiscal de la WACC. Sección D: tasa de cada año escalada por la mezcla de EBITDA por país (Chile ~70%, Perú ~20%, Colombia ~10%; PwC Tax Summaries, Perú revisado 13-jul-26, Colombia 21-jul-26); Gran Plaza a nuestro cap rate implícito (10,1%) − precio pagado, con un cap rate sobre EBITDA aplicado a un NOI. Ninguna cambia la recomendación. Fuente: réplica del DCF v4 (escenarios_dcf.py); modelo v4, hojas APV, Sensibilidad (tabla 2, estática) y DCF; Figuras_Valuacion, WACC_Construccion y V6.</w:t>
      </w:r>
    </w:p>
    <w:p>
      <w:pPr>
        <w:keepNext w:val="fals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keepNext w:val="false"/>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CRP ponderado</w:t>
      </w:r>
    </w:p>
    <w:p>
      <w:pPr>
        <w:keepNext w:val="false"/>
        <w:spacing w:after="10"/>
        <w:ind w:left="240"/>
      </w:pPr>
      <w:r>
        <w:rPr>
          <w:rFonts w:ascii="Arial" w:cs="Arial" w:eastAsia="Arial" w:hAnsi="Arial"/>
          <w:b/>
          <w:bCs/>
          <w:color w:val="14284B"/>
          <w:sz w:val="14"/>
          <w:szCs w:val="14"/>
        </w:rPr>
        <w:t xml:space="preserve">Ke CLP = (1 + Ke USD) × (1 + π Chile) / (1 + π EE.UU.) − 1</w:t>
      </w:r>
    </w:p>
    <w:p>
      <w:pPr>
        <w:keepNext w:val="false"/>
        <w:spacing w:after="10"/>
        <w:ind w:left="240"/>
      </w:pPr>
      <w:r>
        <w:rPr>
          <w:rFonts w:ascii="Arial" w:cs="Arial" w:eastAsia="Arial" w:hAnsi="Arial"/>
          <w:b/>
          <w:bCs/>
          <w:color w:val="14284B"/>
          <w:sz w:val="14"/>
          <w:szCs w:val="14"/>
        </w:rPr>
        <w:t xml:space="preserve">Kd CLP = (1 + Kd real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val="false"/>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Ponderación (ingresos UDM)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POR PERÍODO (Figura 19.1)</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la réplica coincide con la hoja WACC del modelo v4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2.449</w:t>
                  </w:r>
                </w:p>
              </w:tc>
            </w:tr>
          </w:tbl>
          <w:p>
            <w:pPr>
              <w:keepNext w:val="false"/>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keepNext w:val="false"/>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2.449, todavía 31% bajo el precio de CLP 3.555. La recomendación no cambia.</w:t>
            </w:r>
          </w:p>
          <w:p>
            <w:pPr>
              <w:keepNext w:val="false"/>
              <w:spacing w:after="0" w:before="30" w:line="216" w:lineRule="auto"/>
              <w:jc w:val="both"/>
            </w:pPr>
            <w:r>
              <w:rPr>
                <w:rFonts w:ascii="Arial" w:cs="Arial" w:eastAsia="Arial" w:hAnsi="Arial"/>
                <w:color w:val="5F5F5F"/>
                <w:sz w:val="11"/>
                <w:szCs w:val="11"/>
              </w:rPr>
              <w:t xml:space="preserve">Fuente: BCCh, Informativo Diario 2-jul-26; réplica del DCF v4 con la WACC desplazada en todos los períodos.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keepNext w:val="false"/>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 Las figuras cubren la transmisión del shock (Figura 20.1), el petróleo (Figura 20.2), las tasas soberanas (Figura 20.3), los spreads (Figura 20.4), el crecimiento e inflación mundial (Figura 20.5) y Chile (Figura 20.6).</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promedio sep-26</w:t>
            </w:r>
          </w:p>
          <w:p>
            <w:pPr>
              <w:keepNext w:val="false"/>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UST 10Y, 8-oct-26</w:t>
            </w:r>
          </w:p>
          <w:p>
            <w:pPr>
              <w:keepNext w:val="false"/>
              <w:spacing w:after="0" w:line="216" w:lineRule="auto"/>
            </w:pPr>
            <w:r>
              <w:rPr>
                <w:rFonts w:ascii="Arial" w:cs="Arial" w:eastAsia="Arial" w:hAnsi="Arial"/>
                <w:color w:val="5F5F5F"/>
                <w:sz w:val="12"/>
                <w:szCs w:val="12"/>
              </w:rPr>
              <w:t xml:space="preserve">máximo desde 2002 (por verificar)</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pb</w:t>
            </w:r>
          </w:p>
          <w:p>
            <w:pPr>
              <w:keepNext w:val="false"/>
              <w:spacing w:after="10" w:line="216" w:lineRule="auto"/>
            </w:pPr>
            <w:r>
              <w:rPr>
                <w:rFonts w:ascii="Arial" w:cs="Arial" w:eastAsia="Arial" w:hAnsi="Arial"/>
                <w:b/>
                <w:bCs/>
                <w:color w:val="14284B"/>
                <w:sz w:val="13"/>
                <w:szCs w:val="13"/>
              </w:rPr>
              <w:t xml:space="preserve">Spread Francia–Alemania</w:t>
            </w:r>
          </w:p>
          <w:p>
            <w:pPr>
              <w:keepNext w:val="false"/>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FMI 2026: PIB | inflación</w:t>
            </w:r>
          </w:p>
          <w:p>
            <w:pPr>
              <w:keepNext w:val="false"/>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PIB Chile 2026 (BCCh)</w:t>
            </w:r>
          </w:p>
          <w:p>
            <w:pPr>
              <w:keepNext w:val="false"/>
              <w:spacing w:after="0" w:line="216" w:lineRule="auto"/>
            </w:pPr>
            <w:r>
              <w:rPr>
                <w:rFonts w:ascii="Arial" w:cs="Arial" w:eastAsia="Arial" w:hAnsi="Arial"/>
                <w:color w:val="5F5F5F"/>
                <w:sz w:val="12"/>
                <w:szCs w:val="12"/>
              </w:rPr>
              <w:t xml:space="preserve">desde 2–3% proyectado en dic-25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keepNext w:val="false"/>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análisis del equipo; cifras de las Figuras 29–31 del informe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keepNext w:val="false"/>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nivel más alto desde 2002 (por verificar); el Bund pasó de −0,1% a 3,6%. Los déficits fiscales presionan la tasa libre de riesgo y Chile acompaña el movimiento desde mediados de 2026.</w:t>
            </w:r>
          </w:p>
          <w:p>
            <w:pPr>
              <w:keepNext w:val="false"/>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keepNext w:val="false"/>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keepNext w:val="false"/>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keepNext w:val="false"/>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keepNext w:val="false"/>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de utilidad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pb = precio objetivo −12,5%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tráfico −1,3% / +2,5% del valor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pb: precio objetivo de CLP 2.077 a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Menor tráfico y ventas; presión sobre la ocupación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4348739cf2bbe80fe6a78f6df1abc8f36bc358c.png"/><Relationship Id="rId10" Type="http://schemas.openxmlformats.org/officeDocument/2006/relationships/image" Target="media/2d280e67819cba6f6f7e10fe890394220adf824c.png"/><Relationship Id="rId11" Type="http://schemas.openxmlformats.org/officeDocument/2006/relationships/image" Target="media/90db9864c7b88017c205df9cd8c8bdecf6c09ed7.png"/><Relationship Id="rId12" Type="http://schemas.openxmlformats.org/officeDocument/2006/relationships/image" Target="media/f15c089be8e0d753539f6f9eeefa3fe9c0bc4f68.png"/><Relationship Id="rId13" Type="http://schemas.openxmlformats.org/officeDocument/2006/relationships/image" Target="media/0cebf95ed6b1035d4fc1453eaa063682bfc6d832.png"/><Relationship Id="rId14" Type="http://schemas.openxmlformats.org/officeDocument/2006/relationships/image" Target="media/a4e812a20b8d0a04c6f433e62e26cb83cb448be1.png"/><Relationship Id="rId15" Type="http://schemas.openxmlformats.org/officeDocument/2006/relationships/image" Target="media/bb229cbba7c93bbcdce30a13122f93af2ad5370c.png"/><Relationship Id="rId16" Type="http://schemas.openxmlformats.org/officeDocument/2006/relationships/image" Target="media/94eb7462150d49f700ff89cf644c23b43b6a46d1.png"/><Relationship Id="rId17" Type="http://schemas.openxmlformats.org/officeDocument/2006/relationships/image" Target="media/c6f4df8ea8a0206b9436faf2a460211fbeebf9c7.png"/><Relationship Id="rId18" Type="http://schemas.openxmlformats.org/officeDocument/2006/relationships/image" Target="media/f4d3967792585fdbdfd5500d140b57cf27c616b6.png"/><Relationship Id="rId19" Type="http://schemas.openxmlformats.org/officeDocument/2006/relationships/image" Target="media/4bc2b50fc361b46958993af72b6fed0f46eec7a4.png"/><Relationship Id="rId20" Type="http://schemas.openxmlformats.org/officeDocument/2006/relationships/image" Target="media/85905f3480284006c687d1127adc6063810694a6.png"/><Relationship Id="rId21" Type="http://schemas.openxmlformats.org/officeDocument/2006/relationships/image" Target="media/3ffdba50826c0f47161d8972132ca5b20b0dbd4e.png"/><Relationship Id="rId22" Type="http://schemas.openxmlformats.org/officeDocument/2006/relationships/image" Target="media/7d8204fda84a881810f270fea79de3fb869b95ea.png"/><Relationship Id="rId23" Type="http://schemas.openxmlformats.org/officeDocument/2006/relationships/image" Target="media/1c1b905e7784077b546c946da99ba143a175872b.png"/><Relationship Id="rId24" Type="http://schemas.openxmlformats.org/officeDocument/2006/relationships/image" Target="media/224578fbd709a5e79aa953f87ecd1a3c4a4ebe8b.png"/><Relationship Id="rId25" Type="http://schemas.openxmlformats.org/officeDocument/2006/relationships/image" Target="media/78fd8a3b95d09da84d6f02bcf7058100a332498a.png"/><Relationship Id="rId26" Type="http://schemas.openxmlformats.org/officeDocument/2006/relationships/image" Target="media/1d9a00e71859a315af64a6732f0ba93bf8e1e282.png"/><Relationship Id="rId27" Type="http://schemas.openxmlformats.org/officeDocument/2006/relationships/image" Target="media/4f4c3b799e111b35c14611db94b252208b570328.png"/><Relationship Id="rId28" Type="http://schemas.openxmlformats.org/officeDocument/2006/relationships/image" Target="media/ba45f66748a717018d547bb42e2f5d824b10d203.png"/><Relationship Id="rId29" Type="http://schemas.openxmlformats.org/officeDocument/2006/relationships/image" Target="media/21920877934c9931d8267664993f222a8428bd47.png"/><Relationship Id="rId30" Type="http://schemas.openxmlformats.org/officeDocument/2006/relationships/image" Target="media/8e0c26777730e1aac65fea69001a2d8a7c22b295.png"/><Relationship Id="rId31" Type="http://schemas.openxmlformats.org/officeDocument/2006/relationships/image" Target="media/e2ccf62f48e92e82e3d897a5379bf2c580267fad.png"/><Relationship Id="rId32" Type="http://schemas.openxmlformats.org/officeDocument/2006/relationships/image" Target="media/ead92b919a2f809084c3d1d395d08da1bfaafce1.png"/><Relationship Id="rId33" Type="http://schemas.openxmlformats.org/officeDocument/2006/relationships/image" Target="media/4be407fa4bc5e1b7c90dd855d13e6eb7add103a9.png"/><Relationship Id="rId34" Type="http://schemas.openxmlformats.org/officeDocument/2006/relationships/image" Target="media/48c761d5675c07161b48f3504273a2fef78823e1.png"/><Relationship Id="rId35" Type="http://schemas.openxmlformats.org/officeDocument/2006/relationships/image" Target="media/c186a4abce57fb872cd303c60ab1117ebc25455f.png"/><Relationship Id="rId36" Type="http://schemas.openxmlformats.org/officeDocument/2006/relationships/image" Target="media/640091c601831c94757c9beaa38556bcaceab19a.png"/><Relationship Id="rId37" Type="http://schemas.openxmlformats.org/officeDocument/2006/relationships/image" Target="media/2393ddd953397b7c61f612eebcf594f85fb6039c.png"/><Relationship Id="rId38" Type="http://schemas.openxmlformats.org/officeDocument/2006/relationships/image" Target="media/0c15b5a79e1bc6be757d6fe508db25c49a027afb.png"/><Relationship Id="rId39" Type="http://schemas.openxmlformats.org/officeDocument/2006/relationships/image" Target="media/43517fffa31771e8cecb05ca294ce076102793c1.png"/><Relationship Id="rId40" Type="http://schemas.openxmlformats.org/officeDocument/2006/relationships/image" Target="media/734a0a402b235552ada8950b2e87bb7d73ba51a8.png"/><Relationship Id="rId41" Type="http://schemas.openxmlformats.org/officeDocument/2006/relationships/image" Target="media/b57f84c46796a6229bd3c4480bd0b64b7544c648.png"/><Relationship Id="rId42" Type="http://schemas.openxmlformats.org/officeDocument/2006/relationships/image" Target="media/4609d9854ebb5b18f53a96249b39f91c7e2c04ad.png"/><Relationship Id="rId43" Type="http://schemas.openxmlformats.org/officeDocument/2006/relationships/image" Target="media/3b142e586c3e5210e292c0bd5ee719159683478e.png"/><Relationship Id="rId44" Type="http://schemas.openxmlformats.org/officeDocument/2006/relationships/image" Target="media/438682b6a2423995622f6a04ae6a9ebde6b1b73c.png"/><Relationship Id="rId45" Type="http://schemas.openxmlformats.org/officeDocument/2006/relationships/image" Target="media/68d45e370e4ab8a3c4bafdcf440cb34d293a9255.png"/><Relationship Id="rId46" Type="http://schemas.openxmlformats.org/officeDocument/2006/relationships/image" Target="media/ff2104c08e4ce6fa65fd948e42737135974bf6c7.png"/><Relationship Id="rId47" Type="http://schemas.openxmlformats.org/officeDocument/2006/relationships/image" Target="media/3fe8812a3136aa29736494e44ab849dc7868369a.png"/><Relationship Id="rId48" Type="http://schemas.openxmlformats.org/officeDocument/2006/relationships/image" Target="media/a1d8382ea339674a86ad98c542df97d034942bd7.png"/><Relationship Id="rId49" Type="http://schemas.openxmlformats.org/officeDocument/2006/relationships/image" Target="media/dbaedb451f19eb2ab39541b003ff01e6177ade9c.png"/><Relationship Id="rId50" Type="http://schemas.openxmlformats.org/officeDocument/2006/relationships/image" Target="media/b6d2ae5f89549048d7c9582bcdc25f29ceb9fdcd.png"/><Relationship Id="rId51" Type="http://schemas.openxmlformats.org/officeDocument/2006/relationships/image" Target="media/167c415de4f58364ea21a1bf111a48492f86fbc6.png"/><Relationship Id="rId52" Type="http://schemas.openxmlformats.org/officeDocument/2006/relationships/image" Target="media/b37f9670dd9b87d723848d2dd6de478ef16272e2.png"/><Relationship Id="rId53" Type="http://schemas.openxmlformats.org/officeDocument/2006/relationships/image" Target="media/0ce4912c74834c9bb007089b7e34b55388fb9a44.png"/><Relationship Id="rId54" Type="http://schemas.openxmlformats.org/officeDocument/2006/relationships/image" Target="media/339b3b3fea9fdc23356260d546ff3bd5cd9a17b1.png"/><Relationship Id="rId55" Type="http://schemas.openxmlformats.org/officeDocument/2006/relationships/image" Target="media/53969dddf59bc1c8f16c396151f494cd3593db61.png"/><Relationship Id="rId56" Type="http://schemas.openxmlformats.org/officeDocument/2006/relationships/image" Target="media/30cd18c8e68475a6e62bd49f65e7c79a20aa9d06.png"/><Relationship Id="rId57" Type="http://schemas.openxmlformats.org/officeDocument/2006/relationships/image" Target="media/71234321f10eba3adcbbd976d76091adc5da5213.png"/><Relationship Id="rId58" Type="http://schemas.openxmlformats.org/officeDocument/2006/relationships/image" Target="media/ee3ce46107e934bd3d11829fefbef3a94a67d56d.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2026-10-18T01:06:29.515Z</dcterms:created>
  <dcterms:modified xsi:type="dcterms:W3CDTF">2026-10-18T01:06:29.515Z</dcterms:modified>
</cp:coreProperties>
</file>

<file path=docProps/custom.xml><?xml version="1.0" encoding="utf-8"?>
<Properties xmlns="http://schemas.openxmlformats.org/officeDocument/2006/custom-properties" xmlns:vt="http://schemas.openxmlformats.org/officeDocument/2006/docPropsVTypes"/>
</file>