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 center operator in the Andean region: 37 centers and 2.36 million m² of GLA in Chile, Peru and Colombia, with revenue almost as predictable as a bond (81.4% rents, 93% fixed and UF-indexed in Chile) and an 80.5% EBITDA margin. It is a great business, but at CLP 3,555 the market prices it as if its cash flows were nearly risk-free. Weighting our DCF at 80% and peer multiples at 20%, we reach a target price of CLP 2,076 and recommend SELL. Our disagreement with the market is not about cash flows but about the discount rate: the price requires a 7.56% WACC, 285 bp below our 10.41%, and a 6.0% cap rate against the 10.1% implied by our cash flows. Growth does not rescue the price, because each new m² earns a 5.0% real return against a 7.2% real WACC, and neither the bull case (CLP 2,627) nor the appraisers' rate (CLP 2,719) reaches the share price. The main risk to the thesis is a further compression of long-term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BUSINESS DESCRIPTION</w:t>
      </w:r>
    </w:p>
    <w:p>
      <w:pPr>
        <w:keepNext/>
        <w:pBdr>
          <w:bottom w:val="single" w:color="E9004B" w:sz="8" w:space="1"/>
        </w:pBdr>
        <w:spacing w:after="50" w:before="110"/>
        <w:ind w:right="3766"/>
      </w:pPr>
      <w:r>
        <w:rPr>
          <w:rFonts w:ascii="Arial" w:cs="Arial" w:eastAsia="Arial" w:hAnsi="Arial"/>
          <w:b/>
          <w:bCs/>
          <w:color w:val="14284B"/>
          <w:sz w:val="16"/>
          <w:szCs w:val="16"/>
        </w:rPr>
        <w:t xml:space="preserve">FROM ONE MALL IN LA FLORIDA TO 37 URBAN CENTERS ACROSS THE ANDEAN REGION</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keepNext/>
        <w:pBdr>
          <w:bottom w:val="single" w:color="E9004B" w:sz="8" w:space="1"/>
        </w:pBdr>
        <w:spacing w:after="50" w:before="110"/>
        <w:ind w:right="3766"/>
      </w:pPr>
      <w:r>
        <w:rPr>
          <w:rFonts w:ascii="Arial" w:cs="Arial" w:eastAsia="Arial" w:hAnsi="Arial"/>
          <w:b/>
          <w:bCs/>
          <w:color w:val="14284B"/>
          <w:sz w:val="16"/>
          <w:szCs w:val="16"/>
        </w:rPr>
        <w:t xml:space="preserve">A CONSTANTLY REINVENTED TENANT MIX AND HIGH MARGINS BY DESIGN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keepNext/>
        <w:pBdr>
          <w:bottom w:val="single" w:color="E9004B" w:sz="8" w:space="1"/>
        </w:pBdr>
        <w:spacing w:after="50" w:before="110"/>
        <w:ind w:right="3766"/>
      </w:pPr>
      <w:r>
        <w:rPr>
          <w:rFonts w:ascii="Arial" w:cs="Arial" w:eastAsia="Arial" w:hAnsi="Arial"/>
          <w:b/>
          <w:bCs/>
          <w:color w:val="14284B"/>
          <w:sz w:val="16"/>
          <w:szCs w:val="16"/>
        </w:rPr>
        <w:t xml:space="preserve">VALUE IS CONCENTRATED IN 10 TIER A ASSETS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w:t>
      </w:r>
    </w:p>
    <w:p>
      <w:pPr>
        <w:keepNext/>
        <w:pBdr>
          <w:bottom w:val="single" w:color="14284B" w:sz="18" w:space="2"/>
        </w:pBdr>
        <w:spacing w:after="80" w:before="120"/>
        <w:ind w:right="3766"/>
      </w:pPr>
      <w:r>
        <w:rPr>
          <w:rFonts w:ascii="Arial" w:cs="Arial" w:eastAsia="Arial" w:hAnsi="Arial"/>
          <w:b/>
          <w:bCs/>
          <w:color w:val="14284B"/>
          <w:sz w:val="30"/>
          <w:szCs w:val="30"/>
        </w:rPr>
        <w:t xml:space="preserve">INDUSTRY OVERVIEW AND COMPETITIVE POSITIONING</w:t>
      </w:r>
    </w:p>
    <w:p>
      <w:pPr>
        <w:keepNext/>
        <w:pBdr>
          <w:bottom w:val="single" w:color="E9004B" w:sz="8" w:space="1"/>
        </w:pBdr>
        <w:spacing w:after="50" w:before="110"/>
        <w:ind w:right="3766"/>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NEW SUPPLY IN CHILE GROWS IN LINE WITH CONSUMPTION, WITH PRESSURE IN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tbl>
      <w:tblPr>
        <w:tblpPr w:leftFromText="0" w:rightFromText="0" w:topFromText="0" w:bottomFromText="0" w:tblpX="7116" w:tblpY="-98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p>
      <w:pPr>
        <w:keepNext w:val="false"/>
        <w:spacing w:after="60" w:before="0" w:line="228" w:lineRule="auto"/>
        <w:ind w:right="3766"/>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tbl>
      <w:tblPr>
        <w:tblpPr w:leftFromText="0" w:rightFromText="0" w:topFromText="0" w:bottomFromText="0" w:tblpX="7116" w:tblpY="2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TURNS ITS SCALE INTO THE MOST PRODUCTIVE M² OF THE TRIO</w:t>
      </w:r>
    </w:p>
    <w:tbl>
      <w:tblPr>
        <w:tblpPr w:leftFromText="0" w:rightFromText="0" w:topFromText="0" w:bottomFromText="0" w:tblpX="7116" w:tblpY="67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110"/>
        <w:ind w:right="3766"/>
      </w:pPr>
      <w:r>
        <w:rPr>
          <w:rFonts w:ascii="Arial" w:cs="Arial" w:eastAsia="Arial" w:hAnsi="Arial"/>
          <w:b/>
          <w:bCs/>
          <w:color w:val="14284B"/>
          <w:sz w:val="16"/>
          <w:szCs w:val="16"/>
        </w:rPr>
        <w:t xml:space="preserve">LONG LEASES TO DEFEND ITS POSITION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tbl>
      <w:tblPr>
        <w:tblpPr w:leftFromText="0" w:rightFromText="0" w:topFromText="0" w:bottomFromText="0" w:tblpX="7116" w:tblpY="89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competitors in Chile (Figure 7); however, this is offset by the company's “green” profile at the local level, as it ranks among the leading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operational benefits, the implementation of an ISO 50001-certified energy management system (EnMS) translates into better energy performance and, consequently, lower operating costs. The opportunities to access local external benefits are tied to the company's ESG image: in Chile, under the R&amp;D Law (CORFO), Plaza can obtain up to a 55% reduction in first-category corporate income tax; Peru recognizes the company with 2 out of 4 stars under “Huella de Carbono Perú”, which strengthens the company's image and makes it easier to obtain permits and licenses in the country; and Colombia has Law 2099 of 2021, which allows income tax deductions for investments in environmental control, conservation and improvement.</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To this end, it has set three strategic focus areas on ESG parameters: energy and water efficiency, carbon footprint, and waste management. Plaza's main objective is to achieve carbon neutrality, targeting Net Zero in direct and indirect emissions by 2035 (65.6% progress in 2025). </w:t>
      </w:r>
      <w:r>
        <w:rPr>
          <w:rFonts w:ascii="Arial" w:cs="Arial" w:eastAsia="Arial" w:hAnsi="Arial"/>
          <w:b/>
          <w:bCs/>
          <w:i w:val="false"/>
          <w:iCs w:val="false"/>
          <w:color w:val="14284B"/>
          <w:sz w:val="16"/>
          <w:szCs w:val="16"/>
        </w:rPr>
        <w:t xml:space="preserve">Sustainability indices:</w:t>
      </w:r>
      <w:r>
        <w:rPr>
          <w:rFonts w:ascii="Arial" w:cs="Arial" w:eastAsia="Arial" w:hAnsi="Arial"/>
          <w:i w:val="false"/>
          <w:iCs w:val="false"/>
          <w:color w:val="1A1A1A"/>
          <w:sz w:val="16"/>
          <w:szCs w:val="16"/>
        </w:rPr>
        <w:t xml:space="preserve"> The company is included in the DJSI Chile and DJSI MILA, and is the only real estate company in South America to be part of MSCI ESG, with a “BBB” rating, which gives it exposure to ETFs. In addition, it has received the following recognitions: S&amp;P Global Sustainability Yearbook; Morningstar Sustainalytics assigns it a risk rating of 14.4; and Huella de Carbono Perú (2/4 stars), which supports its ESG image.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progress in 2025; Figure 8). The electricity efficiency target is for 100% to come from renewable energy by 2026 (89.3% progress). In 2025, the annual ratio was 0.16 MWh/m² (Energy/GLA), of which 0.14 was renewable and 0.014 non-renewable (Figure 9).</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progress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waste generated in 2025 (94.8% progress; Figure 9 and Appendix 8, Figure 8.4),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environmental due diligence on asset acquisitions, under an environmental compliance program aligned with ISO 14001 and monitored by the sustainability committee.</w:t>
      </w:r>
    </w:p>
    <w:tbl>
      <w:tblPr>
        <w:tblpPr w:leftFromText="0" w:rightFromText="0" w:topFromText="0" w:bottomFromText="0" w:tblpX="7116" w:tblpY="-361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keepNext w:val="false"/>
              <w:spacing w:after="20" w:before="0" w:line="240" w:lineRule="auto"/>
              <w:jc w:val="center"/>
            </w:pPr>
            <w:r>
              <w:drawing>
                <wp:inline distT="0" distB="0" distL="0" distR="0">
                  <wp:extent cx="20288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288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tc>
      </w:tr>
    </w:tbl>
    <w:tbl>
      <w:tblPr>
        <w:tblpPr w:leftFromText="0" w:rightFromText="0" w:topFromText="0" w:bottomFromText="0" w:tblpX="7116" w:tblpY="-12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116" w:tblpY="28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and materiality assessments (Appendix 8, Figure 8.3), and remains alert to any social incident through its integrity hotline. It is also ranked 31st out of 385 by CADEM in “Marcas Ciudadanas” (“Citizen Brands”), winning the “Shopping Centers” category (2026). Regarding employees, they receive training and even have access to specific programs for those nearing retirement (Appendix 8, section 5);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10).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10), and there is an average gender pay gap of 28% at the regional level. The target for 2028 is for 60% of the properties to be certified as inclusive spaces; in addition, Plaza obtained the “Sello Mayor” (“Senior Seal”), a distinction that certifies physical and operational adaptation for older adults.</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116" w:tblpY="225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In 2025, the Board, composed of 9 members (only one of whom is classified as independent; Figure 11 and Appendix 8, Figure 8.2), is responsible for defining Plaza's objectives, strategies and policies, while the directors' committee (composed of 3 members) reviews the balance sheets and financial statements, thereby mitigating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(53.05% of the shares; Appendix 8, Figure 8.1).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 and control:</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 Regarding sanctions at the regional level in 2025, Plaza has no antitrust or corruption sanctions, but it has 27 sanctions related to customer/consumer rights, 2 related to workers' rights, 1 from the Superintendency of the Environment and 8 for workplace/sexual harassment (Appendix 8, section 3).</w:t>
      </w:r>
    </w:p>
    <w:p>
      <w:pPr>
        <w:keepNext/>
        <w:pBdr>
          <w:bottom w:val="single" w:color="14284B" w:sz="18" w:space="2"/>
        </w:pBdr>
        <w:spacing w:after="80" w:before="120"/>
        <w:ind w:right="3766"/>
      </w:pPr>
      <w:r>
        <w:rPr>
          <w:rFonts w:ascii="Arial" w:cs="Arial" w:eastAsia="Arial" w:hAnsi="Arial"/>
          <w:b/>
          <w:bCs/>
          <w:color w:val="14284B"/>
          <w:sz w:val="30"/>
          <w:szCs w:val="30"/>
        </w:rPr>
        <w:t xml:space="preserve">FINANCIAL ANALYSIS</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tbl>
      <w:tblPr>
        <w:tblpPr w:leftFromText="0" w:rightFromText="0" w:topFromText="0" w:bottomFromText="0" w:tblpX="711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12). About two-thirds of Chile's 29% uplift came from a lower appraisal discount rate, not from higher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Excluding fair-value gains net of deferred tax, audited distributable profit was CLP 369bn and ROE 9.7%, the highest of the three local peers on a comparable basis (Appendix 14). FFO, which we rebuild from the statements to within 0.02% of the reported CLP 405bn (Figure 13), held a 59–62% margin over 2022–2025 while net income swung more than fourfold. FFO excludes the UF indexation of debt (CLP 44bn, 11% of FFO); distributable profit includes it and is our conservative earnings anchor.</w:t>
      </w:r>
    </w:p>
    <w:tbl>
      <w:tblPr>
        <w:tblpPr w:leftFromText="0" w:rightFromText="0" w:topFromText="0" w:bottomFromText="0" w:tblpX="7116" w:tblpY="95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Removing fair-value gains and non-cash items turns CLP 1,441bn of profit into CLP 408bn of FFO (CLP bn)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p>
      <w:pPr>
        <w:keepNext/>
        <w:pBdr>
          <w:bottom w:val="single" w:color="E9004B" w:sz="8" w:space="1"/>
        </w:pBdr>
        <w:spacing w:after="50" w:before="110"/>
        <w:ind w:right="3766"/>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Once currency and inflation are removed, 1H26 reported growth of 7.4% falls to about 3.0% real (Figure 14).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110"/>
        <w:ind w:right="3766"/>
      </w:pPr>
      <w:r>
        <w:rPr>
          <w:rFonts w:ascii="Arial" w:cs="Arial" w:eastAsia="Arial" w:hAnsi="Arial"/>
          <w:b/>
          <w:bCs/>
          <w:color w:val="14284B"/>
          <w:sz w:val="16"/>
          <w:szCs w:val="16"/>
        </w:rPr>
        <w:t xml:space="preserve">Margin gains came from mix and cost recovery; operating leverage is spent</w:t>
      </w:r>
    </w:p>
    <w:tbl>
      <w:tblPr>
        <w:tblpPr w:leftFromText="0" w:rightFromText="0" w:topFromText="0" w:bottomFromText="0" w:tblpX="7116" w:tblpY="22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0.7pp.</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costs have already fallen from 23.8% of revenue in 2023 to 20.1% in 2025 (Appendix 11), so there is little left for the margin to gain: from here, EBITDA grows with rents, not with efficiency.</w:t>
      </w:r>
    </w:p>
    <w:p>
      <w:pPr>
        <w:keepNext/>
        <w:pBdr>
          <w:bottom w:val="single" w:color="E9004B" w:sz="8" w:space="1"/>
        </w:pBdr>
        <w:spacing w:after="50" w:before="110"/>
        <w:ind w:right="3766"/>
      </w:pPr>
      <w:r>
        <w:rPr>
          <w:rFonts w:ascii="Arial" w:cs="Arial" w:eastAsia="Arial" w:hAnsi="Arial"/>
          <w:b/>
          <w:bCs/>
          <w:color w:val="14284B"/>
          <w:sz w:val="16"/>
          <w:szCs w:val="16"/>
        </w:rPr>
        <w:t xml:space="preserve">Cash covers the dividend 2.6x; the ceiling is policy, not liquidity</w:t>
      </w:r>
    </w:p>
    <w:tbl>
      <w:tblPr>
        <w:tblpPr w:leftFromText="0" w:rightFromText="0" w:topFromText="0" w:bottomFromText="0" w:tblpX="7116" w:tblpY="71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Free cash flow covers dividends 1.5–2.6x even as capex rises (FY2025, CLP bn)</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15).</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38.6% jump in 1H26 operating cash flow is not earnings power: 59% of it was December collections unwinding through working capital. Receivable days fell from 66 to 50, with no sign of weaker collection.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18).</w:t>
      </w:r>
    </w:p>
    <w:p>
      <w:pPr>
        <w:keepNext/>
        <w:pBdr>
          <w:bottom w:val="single" w:color="E9004B" w:sz="8" w:space="1"/>
        </w:pBdr>
        <w:spacing w:after="50" w:before="110"/>
        <w:ind w:right="3766"/>
      </w:pPr>
      <w:r>
        <w:rPr>
          <w:rFonts w:ascii="Arial" w:cs="Arial" w:eastAsia="Arial" w:hAnsi="Arial"/>
          <w:b/>
          <w:bCs/>
          <w:color w:val="14284B"/>
          <w:sz w:val="16"/>
          <w:szCs w:val="16"/>
        </w:rPr>
        <w:t xml:space="preserve">Cash-flow metrics earn the AAA; equity-based ratios flatter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LTV fell from 26.9% to 18.8% in 2025, but 5.0pp of the 8.0pp drop came from revaluing the denominator; with property at 2024 value plus additions, LTV would have been 23.8% (Figure 16). Cash-flow metrics are the honest lens and support Feller Rate's upgrade to AAA (25 September 2026): net debt/EBITDA fell from 3.78x to 2.36x on June 2026 LTM EBITDA (the 2024 figure includes only one month of Peru), and EBITDA covers financial costs 8.4x.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17); refinancing series S (1.32% effective) at the latest issue's 4.33% would add about CLP 4.9bn a year. Liquidity is ample: at June 2026 the current ratio was 2.50x and cash covered current liabilities 1.71x.</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After the pipeline, expansion keeps capex near CLP 150bn a year while leverage rebuilds to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includes CLP 84.2bn spent in 1H26; 2024A leverage includes one month of Peru EBITDA. Source: Plaza S.A. financial statements (CMF); 2Q26 results release (pipeline); valuation base case (Appendices 9 and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13). At 3.5x the new AAA would likely come under pressure.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p>
      <w:pPr>
        <w:keepNext/>
        <w:pBdr>
          <w:bottom w:val="single" w:color="E9004B" w:sz="8" w:space="1"/>
        </w:pBdr>
        <w:spacing w:after="50" w:before="110"/>
        <w:ind w:right="3766"/>
      </w:pPr>
      <w:r>
        <w:rPr>
          <w:rFonts w:ascii="Arial" w:cs="Arial" w:eastAsia="Arial" w:hAnsi="Arial"/>
          <w:b/>
          <w:bCs/>
          <w:color w:val="14284B"/>
          <w:sz w:val="16"/>
          <w:szCs w:val="16"/>
        </w:rPr>
        <w:t xml:space="preserve">The forecast carries forward what history supports, including the pace of expansion</w:t>
      </w:r>
    </w:p>
    <w:tbl>
      <w:tblPr>
        <w:tblpPr w:leftFromText="0" w:rightFromText="0" w:topFromText="0" w:bottomFromText="0" w:tblpX="7116" w:tblpY="35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18);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9). New GLA yields 6.9% on cost, a 5.0% real return after tax against a 7.2% real WACC: expansion adds revenue but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What this means for 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Mallplaza earns the highest normalized ROE of its local peers (9.7% against 7.8% at Parque Arauco and 8.0% at Cencosud Shopping) with an LTV of only 18.8% (Appendix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Third, the return on capital at fair value is low. 2025 ROIC, with NOPAT at 27% over invested capital at appraised value, was 7.3% (Appendix 11),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tbl>
      <w:tblPr>
        <w:tblpPr w:leftFromText="0" w:rightFromText="0" w:topFromText="0" w:bottomFromText="0" w:tblpX="7116" w:tblpY="2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VALUATION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A PRICE NO METHOD REACHES</w:t>
      </w:r>
    </w:p>
    <w:tbl>
      <w:tblPr>
        <w:tblpPr w:leftFromText="0" w:rightFromText="0" w:topFromText="0" w:bottomFromText="0" w:tblpX="7116" w:tblpY="89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No method justifies the current price (CLP per share)</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52-week intraday range (1-Oct-25 to 30-Sep-26; low 10-Oct-25, high 27-Apr-26). Source: Team analysis;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19).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keepNext w:val="false"/>
        <w:spacing w:after="60" w:before="0" w:line="228" w:lineRule="auto"/>
        <w:ind w:right="3766"/>
        <w:jc w:val="both"/>
      </w:pPr>
      <w:r>
        <w:rPr>
          <w:rFonts w:ascii="Arial" w:cs="Arial" w:eastAsia="Arial" w:hAnsi="Arial"/>
          <w:i w:val="false"/>
          <w:iCs w:val="false"/>
          <w:color w:val="1A1A1A"/>
          <w:sz w:val="16"/>
          <w:szCs w:val="16"/>
        </w:rPr>
        <w:t xml:space="preserve">Figure 19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keepNext/>
        <w:pBdr>
          <w:bottom w:val="single" w:color="E9004B" w:sz="8" w:space="1"/>
        </w:pBdr>
        <w:spacing w:after="50" w:before="110"/>
        <w:ind w:right="3766"/>
      </w:pPr>
      <w:r>
        <w:rPr>
          <w:rFonts w:ascii="Arial" w:cs="Arial" w:eastAsia="Arial" w:hAnsi="Arial"/>
          <w:b/>
          <w:bCs/>
          <w:color w:val="14284B"/>
          <w:sz w:val="16"/>
          <w:szCs w:val="16"/>
        </w:rPr>
        <w:t xml:space="preserve">THE STORY IS IN THE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project free cash flow to the firm in nominal CLP from 30-Jun-26, with an explicit horizon to 2031E and a terminal value that accounts for 76% of EV (Appendix 15). The CLP 1,857 per share is CLP 583 of explicit cash flows and CLP 1,884 of terminal value, less CLP 610 of debt and minorities: the result depends, above all, on the discount rate.</w:t>
      </w:r>
    </w:p>
    <w:tbl>
      <w:tblPr>
        <w:tblpPr w:leftFromText="0" w:rightFromText="0" w:topFromText="0" w:bottomFromText="0" w:tblpX="7116" w:tblpY="19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At CLP 3,555 equity yields almost the same as debt</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rates in UF. Source: Central Bank of Chile (30-Jun-26); Mallplaza;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Here the first signal appears: at CLP 3,555, equity yields ~4.4% real, just 80 bp above the company's own real cost of debt (Figure 20). The market is pricing the stock almost as if it were a bond.</w:t>
      </w:r>
    </w:p>
    <w:tbl>
      <w:tblPr>
        <w:tblpPr w:leftFromText="0" w:rightFromText="0" w:topFromText="0" w:bottomFromText="0" w:tblpX="711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Working capital: an assumption that does not move the price (±1.2%)</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financial statements;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GROWTH DOES NOT RESCUE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21). These are assumptions the team can defend line by line (Appendix 16).</w:t>
      </w:r>
    </w:p>
    <w:tbl>
      <w:tblPr>
        <w:tblpPr w:leftFromText="0" w:rightFromText="0" w:topFromText="0" w:bottomFromText="0" w:tblpX="7116" w:tblpY="3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Growing below the WACC destroys value: real g = 0%</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Top: DCF value by g. Bottom: relative terminal value by RONIC.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22). Assuming more growth would not close the gap with the price; it would widen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p>
      <w:pPr>
        <w:keepNext/>
        <w:pBdr>
          <w:bottom w:val="single" w:color="E9004B" w:sz="8" w:space="1"/>
        </w:pBdr>
        <w:spacing w:after="50" w:before="110"/>
        <w:ind w:right="3766"/>
      </w:pPr>
      <w:r>
        <w:rPr>
          <w:rFonts w:ascii="Arial" w:cs="Arial" w:eastAsia="Arial" w:hAnsi="Arial"/>
          <w:b/>
          <w:bCs/>
          <w:color w:val="14284B"/>
          <w:sz w:val="16"/>
          <w:szCs w:val="16"/>
        </w:rPr>
        <w:t xml:space="preserve">PEERS CONFIRM THE DIRECTION, NOT THE SIZE</w:t>
      </w:r>
    </w:p>
    <w:tbl>
      <w:tblPr>
        <w:tblpPr w:leftFromText="0" w:rightFromText="0" w:topFromText="0" w:bottomFromText="0" w:tblpX="7116" w:tblpY="30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bond: 10Y UF (Central Bank of Chile) and NTN-B 2035 (8.08%) at 30-Jun-26. Spread = cap rate (1 / EV/EBITDA) − real bond. IRSA omitted (IAS 29). Source: Bloomberg; Central Bank of Chile;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23).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tbl>
      <w:tblPr>
        <w:tblpPr w:leftFromText="0" w:rightFromText="0" w:topFromText="0" w:bottomFromText="0" w:tblpX="7116" w:tblpY="83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Value implied by each peer's multiple vs DCF and price (CLP per share)</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Target = 80% DCF + 20% EV/EBITDA LTM. P/E excluded (includes revaluation). Source: Bloomberg (30-Sep-26);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24): multiples confirm the stock is expensive, and the DCF sets the size of the gap. We exclude P/E (CLP 8,644), distorted by property revaluation.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tbl>
      <w:tblPr>
        <w:tblpPr w:leftFromText="0" w:rightFromText="0" w:topFromText="0" w:bottomFromText="0" w:tblpX="7116" w:tblpY="22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The market pays 6.0%; our cash flows are worth 10.1%</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subsequent event, not in the model. Source: Mallplaza; Bloomberg; DF;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WHAT THE MARKET WOULD HAVE TO BELIEVE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price implies an EV of CLP 9.12 trillion, 69% above ours, and a 6.0% cap rate, against 10.1% in our DCF, 6.4% for Chilean peers and 7.5% at book value (Figure 25). The market pays 1.61x an equity base already at fair value, appraised at a ~5.55% real rate (Note 11): it pays more than the appraisers themselves. To justify CLP 3,555, the WACC would have to be 285 bp lower (Figure 26); even at the appraisers' rate, the DCF would be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pushed the thesis to its extremes. In a bear case (WACC +100 bp and the 75.8% quarterly-low margin) the target falls to CLP 1,713; in a bull case combining WACC −100 bp, g of 2.5%, the 81.3% quarterly-peak margin and the cut in corporate tax to 23%, it rises to CLP 2,627, still 26% below the price. APV (CLP 1,894), a peso-bond Rf (~CLP 2,439) and other debt targets (DCF of CLP 1,819 to 1,894) lead to the same conclusion (Appendix 18).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price requires a WACC 285 bp lower</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27 classifies each risk by likelihood and by its impact on value per share (Figures 28 to 26). Risks that could not be quantified are classified according to the team's qualitative analysis of the company.</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28).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28).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29).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30). The risk is that weaker consumption prevents passing the UF through to rents: without that pass-through, UF +3% takes 0.9% off the target price.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28).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to a rise in the UF (CLP per share)</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p>
      <w:pPr>
        <w:keepNext w:val="false"/>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INVESTMENT SUMMARY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TO BE WRITTEN</w:t>
                  </w:r>
                </w:p>
                <w:p>
                  <w:pPr>
                    <w:keepNext w:val="false"/>
                    <w:spacing w:after="60"/>
                  </w:pPr>
                  <w:r>
                    <w:rPr>
                      <w:rFonts w:ascii="Arial" w:cs="Arial" w:eastAsia="Arial" w:hAnsi="Arial"/>
                      <w:i/>
                      <w:iCs/>
                      <w:color w:val="5F5F5F"/>
                      <w:sz w:val="16"/>
                      <w:szCs w:val="16"/>
                    </w:rPr>
                    <w:t xml:space="preserve">Recommendation and target price · Investment thesis · Valuation summary · Catalysts · Key risks.</w:t>
                  </w:r>
                </w:p>
                <w:p>
                  <w:pPr>
                    <w:keepNext w:val="false"/>
                    <w:spacing w:after="60"/>
                  </w:pPr>
                  <w:r>
                    <w:rPr>
                      <w:rFonts w:ascii="Arial" w:cs="Arial" w:eastAsia="Arial" w:hAnsi="Arial"/>
                      <w:i/>
                      <w:iCs/>
                      <w:color w:val="5F5F5F"/>
                      <w:sz w:val="16"/>
                      <w:szCs w:val="16"/>
                    </w:rPr>
                    <w:t xml:space="preserve">Section to be written by the team; the key data on the right already come from the models.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cap (CLP bn)</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52-week range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Expected dividend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Net debt / LTM EBITDA 2Q26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Source: valuation model v2; Bloomberg (52-week range); Team analysis.</w:t>
                  </w:r>
                </w:p>
              </w:tc>
            </w:tr>
          </w:tbl>
          <w:p>
            <w:pPr>
              <w:keepNext w:val="false"/>
            </w:pPr>
          </w:p>
        </w:tc>
      </w:tr>
    </w:tbl>
    <w:p>
      <w:pPr>
        <w:sectPr>
          <w:footerReference w:type="default" r:id="rId7"/>
          <w:type w:val="nextPage"/>
          <w:pgSz w:w="11906" w:h="16838" w:orient="portrait"/>
          <w:pgMar w:top="560" w:right="620" w:bottom="760" w:left="620" w:header="200" w:footer="30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GLA pipeline 2026-2028: organic vs acquisitions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2Q26 reports and 2025 Annual Report; Parque Arauco Investor Presentation 2Q26; Cenco Malls Corporate Presentation 2Q26. Dated projects only.</w:t>
            </w:r>
          </w:p>
          <w:p>
            <w:pPr>
              <w:keepNext w:val="false"/>
              <w:keepLines/>
              <w:spacing w:after="20" w:before="90" w:line="240"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Market share within the trio in Chile, 2Q22-2Q26 (% of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Consolidated occupancy rate, 2Q22-2Q26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Each company defines occupancy differently; Mallplaza includes Open Plaza since 2Q25.</w:t>
            </w:r>
          </w:p>
        </w:tc>
      </w:tr>
    </w:tbl>
    <w:p>
      <w:pPr>
        <w:keepNext w:val="false"/>
        <w:spacing w:after="30" w:before="14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Porter's five forces by country and key evidence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Key evidence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Rivalry</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race to reinvest in experience; asset acquisitions (Minka, Plaza Central; Quilín and Chicureo announced); supply above consumption in 2027-28. Stable shares and margins of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New entrants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Capital-intensive (USD 613 million for 170,200 m² at Mallplaza); incumbents' land banks; Peru and Colombia less concentrated; most malls in Colombia are strata-titled (multi-owner).</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tenants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96-99%; average lease terms of 5.0-8.7 years; top 5 = 18% of Mallplaza revenue; Chile SSR above CPI (6.9% vs 4.8%, 1Q23-2Q26); department stores 19.0% of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suppliers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Common-area expenses passed through to tenants (2025 Annual Report, note 2.20); cost of sales 6.2% of Mallplaza revenue.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Substitutes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 rental income is fixed; 2Q26 visits +4.4% Chile, +1.3% Peru, +2.5% Colombia; shift toward experience. No official e-commerce data by country.</w:t>
            </w:r>
          </w:p>
        </w:tc>
      </w:tr>
    </w:tbl>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1-5 scale in whole numbers; final score = weighted average by Mallplaza GLA as of 2Q26 (Chile 61.9%, Peru 26.2%, Colombia 11.9%), rounded to the nearest integer. For new entrants, the weighted score sits at the threshold (1.5) and the team sets it at 2 given lower barriers to entry in Peru and Colombia. Detail and sources for each data point in Porter_industria_2Q26.xlsx.</w:t>
      </w:r>
    </w:p>
    <w:p>
      <w:pPr>
        <w:keepNext w:val="false"/>
        <w:spacing w:after="30" w:before="140" w:line="228" w:lineRule="auto"/>
      </w:pPr>
      <w:r>
        <w:rPr>
          <w:rFonts w:ascii="Arial" w:cs="Arial" w:eastAsia="Arial" w:hAnsi="Arial"/>
          <w:b/>
          <w:bCs/>
          <w:color w:val="14284B"/>
          <w:sz w:val="14"/>
          <w:szCs w:val="14"/>
        </w:rPr>
        <w:t xml:space="preserve">Appendix 7: </w:t>
      </w:r>
      <w:r>
        <w:rPr>
          <w:rFonts w:ascii="Arial" w:cs="Arial" w:eastAsia="Arial" w:hAnsi="Arial"/>
          <w:color w:val="14284B"/>
          <w:sz w:val="14"/>
          <w:szCs w:val="14"/>
        </w:rPr>
        <w:t xml:space="preserve">Key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across the main operators in each country (slide 7, Institutional Presentation 2Q26). Partial HHI: it is a floor.</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projects with dates in official reports as of 2Q26 and the 2025 Annual Report; for date ranges, the end of the range is used; acquisitions are not new supply for the industry.</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consumption-dependent m² (excludes offices and multifamily); base GLA excludes Cenco's offices. Private consumption from the Sep-2026 IPoM is used as a demand indicator, not as a sales forecast.</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as defined by each company (none includes IAS 40 revaluation gains); 2Q26 EBITDA not annualized; consolidated GLA at 100% of controlled assets.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Leases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term weighted by GLA: explicit for Cenco and in Parque Arauco's profile; assumption for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tenant sales 2Q26 vs 2Q25 deflated by 12-month CPI as of June 2026 (4.3%; INE, release dated July 8, 2026). Cenco 2Q25 calculated from its published change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June 30, 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Breaches of laws and regulations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5"/>
          <w:szCs w:val="15"/>
        </w:rPr>
        <w:t xml:space="preserve">FCFF in nominal CLP from 30-Jun-26, with the mid-period convention and each period's WACC (Appendix 19). Terminal value uses 2032E FCFF with 3.0% nominal g (0% real, no reinvestment because RONIC is below the real WACC) and the 10.41% terminal WACC, and includes 108,301 m² of GLA maturing after 2031. It accounts for 76% of EV.</w:t>
      </w:r>
    </w:p>
    <w:p>
      <w:pPr>
        <w:keepNext w:val="false"/>
        <w:pBdr>
          <w:bottom w:val="single" w:color="E9004B" w:sz="8" w:space="1"/>
        </w:pBdr>
        <w:spacing w:after="50" w:before="80"/>
      </w:pPr>
      <w:r>
        <w:rPr>
          <w:rFonts w:ascii="Arial" w:cs="Arial" w:eastAsia="Arial" w:hAnsi="Arial"/>
          <w:b/>
          <w:bCs/>
          <w:color w:val="14284B"/>
          <w:sz w:val="16"/>
          <w:szCs w:val="16"/>
        </w:rPr>
        <w:t xml:space="preserve">A. FREE CASH FLOW TO THE FIRM BY PERIOD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capex (pipeline + maintenance)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capex / terminal reinvestment</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of terminal value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million</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7,133,037 million (implied cap rate 10.1%; implied LTM EV/EBITDA 9.9x). 2H26E: half year. Source: model v2, DCF and Sensibilidad sheets; 2,190 million shares.</w:t>
      </w:r>
    </w:p>
    <w:p>
      <w:pPr>
        <w:keepNext w:val="false"/>
        <w:pBdr>
          <w:bottom w:val="single" w:color="14284B" w:sz="18" w:space="2"/>
        </w:pBdr>
        <w:spacing w:after="80" w:before="260"/>
      </w:pPr>
      <w:r>
        <w:rPr>
          <w:rFonts w:ascii="Arial" w:cs="Arial" w:eastAsia="Arial" w:hAnsi="Arial"/>
          <w:b/>
          <w:bCs/>
          <w:color w:val="14284B"/>
          <w:sz w:val="30"/>
          <w:szCs w:val="30"/>
        </w:rPr>
        <w:t xml:space="preserve">APPENDIX 16: FORECAST ASSUMPTIONS</w:t>
      </w:r>
    </w:p>
    <w:p>
      <w:pPr>
        <w:keepNext w:val="false"/>
        <w:shd w:fill="EEF1F6" w:color="auto" w:val="clear"/>
        <w:spacing w:after="40" w:line="216" w:lineRule="auto"/>
        <w:jc w:val="both"/>
      </w:pPr>
      <w:r>
        <w:rPr>
          <w:rFonts w:ascii="Arial" w:cs="Arial" w:eastAsia="Arial" w:hAnsi="Arial"/>
          <w:color w:val="1A1A1A"/>
          <w:sz w:val="15"/>
          <w:szCs w:val="15"/>
        </w:rPr>
        <w:t xml:space="preserve">The base forecast follows the team's operating engine (announced pipeline to 2028); from 2029 a continuous expansion is added at the historical opening pace. 2026E revenue is calendar-year; the 2H26E period deducts actual 1H26 (CLP 339,530 million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FORECAST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 (USD million)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base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million,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Basis: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million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advance rents (Dec-25, CLP million)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(real) terminal g</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income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Source: model v2, Forecast_Base, Expansion, Capital_Trabajo and Supuestos sheets (2Q26 release; Dec-25 financial statements; Exhibits v6).</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5"/>
          <w:szCs w:val="15"/>
        </w:rPr>
        <w:t xml:space="preserve">We use the same peer set as the WACC beta. LTM EV/EBITDA is the main method (neutral to leverage and to IAS 40 revaluation); the multiple weights the Chilean median at 70% and the common-set median at 30%. P/E and P/BV mix fair-value and cost-basis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MILLION;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LTM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LTM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LTM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mn)</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LTM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LTM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LTM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of CLP 544,935 million = EV 7,825,944 − Bloomberg net debt 1,311,569 − minorities 50,841 = CLP 2,951 per share (2,190 million shares). Fibra Danhos is excluded for its FIBRA regime and because it has no beta in the WACC; IRSA reports under IAS 29. Source: Bloomberg; model v2, Comparables and Precio_Objetivo sheets;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5"/>
          <w:szCs w:val="15"/>
        </w:rPr>
        <w:t xml:space="preserve">No scenario or alternative method reaches the CLP 3,555 price. Scenarios are computed with the DCF v2 replica (which reproduces the base value exactly), and the target keeps the 80% DCF weight and the CLP 2,951 multiples value.</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in every period; EBITDA margin 75.8% (historical low) instead of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 v2: WACC 10.54% → 10.41%; g 3.0%; margin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g 2.5%; margin 81.3% (historical high); cash tax capped at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every period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INPUTS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peso bond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ND/EBITDA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and bull: EBITDA margin at the historical low/high (4Q23 and 3Q25 earnings releases) in every year; the bull case does not recompute the WACC tax shield. Source: DCF v2 replica (riesgos/graficos/tornado_operacional.py); model v2, APV, Sensibilidad (table 2, static) and DCF sheets; Figuras_Valuacion, WACC_Construccion and V6.</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28–30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+2.4% of value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2,076 to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footerReference w:type="default" r:id="rId8"/>
      <w:type w:val="nextPage"/>
      <w:pgSz w:w="11906" w:h="16838" w:orient="portrait"/>
      <w:pgMar w:top="560" w:right="620" w:bottom="760" w:left="620" w:header="200" w:footer="3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e4f513e480b807c532d9e3f3e7875c4083abcd2.png"/><Relationship Id="rId10" Type="http://schemas.openxmlformats.org/officeDocument/2006/relationships/image" Target="media/b2b2d7c7efb3f30eb3d2f36989cfa14f2029adbe.png"/><Relationship Id="rId11" Type="http://schemas.openxmlformats.org/officeDocument/2006/relationships/image" Target="media/3e0d5cd7410072f621125f9466a47538b8484785.png"/><Relationship Id="rId12" Type="http://schemas.openxmlformats.org/officeDocument/2006/relationships/image" Target="media/930b12feb78c2a7223e3994135daa5f82e020ffe.png"/><Relationship Id="rId13" Type="http://schemas.openxmlformats.org/officeDocument/2006/relationships/image" Target="media/97008b1080de62d6fb081f52664a91d418d7934e.png"/><Relationship Id="rId14" Type="http://schemas.openxmlformats.org/officeDocument/2006/relationships/image" Target="media/c38872059cd5731903c2ad5041f07c8d4699b365.png"/><Relationship Id="rId15" Type="http://schemas.openxmlformats.org/officeDocument/2006/relationships/image" Target="media/ded5e1657640e653c8c5f59f77745d6d262bbdba.png"/><Relationship Id="rId16" Type="http://schemas.openxmlformats.org/officeDocument/2006/relationships/image" Target="media/9186d6d0fd41b9f3fd8c32d4b6b821345cc10ac1.png"/><Relationship Id="rId17" Type="http://schemas.openxmlformats.org/officeDocument/2006/relationships/image" Target="media/326703e0e66ff70cff5e7cdedeeb00baa383a9ec.png"/><Relationship Id="rId18" Type="http://schemas.openxmlformats.org/officeDocument/2006/relationships/image" Target="media/9570f91f852c6c39aad8d6f047dd2c1bef9ac37e.png"/><Relationship Id="rId19" Type="http://schemas.openxmlformats.org/officeDocument/2006/relationships/image" Target="media/addbc14aaf283e21f2e2e3b805c1e7edd232d409.png"/><Relationship Id="rId20" Type="http://schemas.openxmlformats.org/officeDocument/2006/relationships/image" Target="media/34cf5efedec970dddabf7ad7f0397fa946dde7af.png"/><Relationship Id="rId21" Type="http://schemas.openxmlformats.org/officeDocument/2006/relationships/image" Target="media/67d3af205c0720abae927a295402b8173067a71d.png"/><Relationship Id="rId22" Type="http://schemas.openxmlformats.org/officeDocument/2006/relationships/image" Target="media/0ecdedf336d9450fef0f4340e7d2f3445bf5d5ea.png"/><Relationship Id="rId23" Type="http://schemas.openxmlformats.org/officeDocument/2006/relationships/image" Target="media/100e719272ccd251c35d82999c2cbfdfab008b96.png"/><Relationship Id="rId24" Type="http://schemas.openxmlformats.org/officeDocument/2006/relationships/image" Target="media/0e8de6046ea8cf465c51ece1e2db1d0fdb7f5b9e.png"/><Relationship Id="rId25" Type="http://schemas.openxmlformats.org/officeDocument/2006/relationships/image" Target="media/fbaa45cc822c3cf6d5ceb7547cdd01441f6bb8f4.png"/><Relationship Id="rId26" Type="http://schemas.openxmlformats.org/officeDocument/2006/relationships/image" Target="media/614c883e6f2b898c089b825413644af7dee880dd.png"/><Relationship Id="rId27" Type="http://schemas.openxmlformats.org/officeDocument/2006/relationships/image" Target="media/a62342d9ec50c46f4e7f430f13c67905c743e7ce.png"/><Relationship Id="rId28" Type="http://schemas.openxmlformats.org/officeDocument/2006/relationships/image" Target="media/a98ec5db30a9b2fae58f506a01267ad00c0545c0.png"/><Relationship Id="rId29" Type="http://schemas.openxmlformats.org/officeDocument/2006/relationships/image" Target="media/8328ba562cddad3f672e3301050fb517a3b5f8aa.png"/><Relationship Id="rId30" Type="http://schemas.openxmlformats.org/officeDocument/2006/relationships/image" Target="media/30cb8469be326b2ca7bbe97b9caa7e1c4842f99d.png"/><Relationship Id="rId31" Type="http://schemas.openxmlformats.org/officeDocument/2006/relationships/image" Target="media/11ae97cbbba07ae07141e02f3be12fcfb32209b4.png"/><Relationship Id="rId32" Type="http://schemas.openxmlformats.org/officeDocument/2006/relationships/image" Target="media/d40688d44987d578c4578ea19e236ca614ea843a.png"/><Relationship Id="rId33" Type="http://schemas.openxmlformats.org/officeDocument/2006/relationships/image" Target="media/b3e445c9f34a4a944fb280d19258017788441bf7.png"/><Relationship Id="rId34" Type="http://schemas.openxmlformats.org/officeDocument/2006/relationships/image" Target="media/67c8ea2a55c01eaf39a5b555e17932328157a3b1.png"/><Relationship Id="rId35" Type="http://schemas.openxmlformats.org/officeDocument/2006/relationships/image" Target="media/f93973cef37e97655b8f2ee6a16d436dc31b144b.png"/><Relationship Id="rId36" Type="http://schemas.openxmlformats.org/officeDocument/2006/relationships/image" Target="media/622cee3aa81df98e2bbcd50166634b878e8dd818.png"/><Relationship Id="rId37" Type="http://schemas.openxmlformats.org/officeDocument/2006/relationships/image" Target="media/cf58b765b7de8ff377687c2671163528a8e708f3.png"/><Relationship Id="rId38" Type="http://schemas.openxmlformats.org/officeDocument/2006/relationships/image" Target="media/c59b24049313dff36dc84ade4dcb2534413819d0.png"/><Relationship Id="rId39" Type="http://schemas.openxmlformats.org/officeDocument/2006/relationships/image" Target="media/4629fff7f4d90544c6881dfa0ac0b1581647ead4.png"/><Relationship Id="rId40" Type="http://schemas.openxmlformats.org/officeDocument/2006/relationships/image" Target="media/d810a8de8705d486a1cc41f629d6e44a63c29c7d.png"/><Relationship Id="rId41" Type="http://schemas.openxmlformats.org/officeDocument/2006/relationships/image" Target="media/30db9ba6696526f51fce71150cb064598929c470.png"/><Relationship Id="rId42" Type="http://schemas.openxmlformats.org/officeDocument/2006/relationships/image" Target="media/79483e499b773861f736c4797e4f6cc8c65b3a9f.png"/><Relationship Id="rId43" Type="http://schemas.openxmlformats.org/officeDocument/2006/relationships/image" Target="media/6776e5c5d5e3b831d3a6082e34880dd0764b9702.png"/><Relationship Id="rId44" Type="http://schemas.openxmlformats.org/officeDocument/2006/relationships/image" Target="media/6c32e3d1a1d4ea4565596481224b7e392927ea41.png"/><Relationship Id="rId45" Type="http://schemas.openxmlformats.org/officeDocument/2006/relationships/image" Target="media/fb371acf9afb43003bfd5fcfe998ff3f42126817.png"/><Relationship Id="rId46" Type="http://schemas.openxmlformats.org/officeDocument/2006/relationships/image" Target="media/9d7f4f37ccf94ef7fd235868df77621056da952c.png"/><Relationship Id="rId47" Type="http://schemas.openxmlformats.org/officeDocument/2006/relationships/image" Target="media/1987ead589840fa585f367b9fb74310fee03f7dd.png"/><Relationship Id="rId48" Type="http://schemas.openxmlformats.org/officeDocument/2006/relationships/image" Target="media/a1a01b45d6be15873163d7f4df2b5d1388d71092.png"/><Relationship Id="rId49" Type="http://schemas.openxmlformats.org/officeDocument/2006/relationships/image" Target="media/74b785ab5dc6ff2d7a2669dbff7ca479845d79c7.png"/><Relationship Id="rId50" Type="http://schemas.openxmlformats.org/officeDocument/2006/relationships/image" Target="media/cad639ca5e0bdcd7eee0898b91cc8274ca418bf7.png"/><Relationship Id="rId51" Type="http://schemas.openxmlformats.org/officeDocument/2006/relationships/image" Target="media/b75d7c57b9f5e0f71be8fa7975bc23b67c6f4a4a.png"/><Relationship Id="rId52" Type="http://schemas.openxmlformats.org/officeDocument/2006/relationships/image" Target="media/7640993cad1d25805eb3ec4b6d40d373df297a1b.png"/><Relationship Id="rId53" Type="http://schemas.openxmlformats.org/officeDocument/2006/relationships/image" Target="media/097d9e68442f8586148a911de890f9b42b249cf6.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2026-10-17T14:41:23.207Z</dcterms:created>
  <dcterms:modified xsi:type="dcterms:W3CDTF">2026-10-17T14:41:23.207Z</dcterms:modified>
</cp:coreProperties>
</file>

<file path=docProps/custom.xml><?xml version="1.0" encoding="utf-8"?>
<Properties xmlns="http://schemas.openxmlformats.org/officeDocument/2006/custom-properties" xmlns:vt="http://schemas.openxmlformats.org/officeDocument/2006/docPropsVTypes"/>
</file>