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4284B" w:sz="18" w:space="2"/>
        </w:pBdr>
        <w:spacing w:after="80"/>
      </w:pPr>
      <w:r>
        <w:rPr>
          <w:rFonts w:ascii="Arial" w:cs="Arial" w:eastAsia="Arial" w:hAnsi="Arial"/>
          <w:b/>
          <w:bCs/>
          <w:color w:val="14284B"/>
          <w:sz w:val="30"/>
          <w:szCs w:val="30"/>
        </w:rPr>
        <w:t xml:space="preserve">VALUATION</w:t>
      </w:r>
    </w:p>
    <w:tbl>
      <w:tblPr>
        <w:tblW w:type="dxa" w:w="106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6900"/>
        <w:gridCol w:w="216"/>
        <w:gridCol w:w="3550"/>
      </w:tblGrid>
      <w:tr>
        <w:trPr>
          <w:cantSplit/>
        </w:trPr>
        <w:tc>
          <w:tcPr>
            <w:tcW w:type="dxa" w:w="6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Bdr>
                <w:bottom w:val="single" w:color="E9004B" w:sz="8" w:space="1"/>
              </w:pBdr>
              <w:spacing w:after="50" w:before="20"/>
            </w:pPr>
            <w:r>
              <w:rPr>
                <w:rFonts w:ascii="Arial" w:cs="Arial" w:eastAsia="Arial" w:hAnsi="Arial"/>
                <w:b/>
                <w:bCs/>
                <w:color w:val="14284B"/>
                <w:sz w:val="16"/>
                <w:szCs w:val="16"/>
              </w:rPr>
              <w:t xml:space="preserve">SUMMARY AND METHOD</w:t>
            </w:r>
          </w:p>
          <w:p>
            <w:pPr>
              <w:spacing w:after="3913" w:before="0"/>
            </w:pPr>
          </w:p>
          <w:p>
            <w:pPr>
              <w:pBdr>
                <w:bottom w:val="single" w:color="E9004B" w:sz="8" w:space="1"/>
              </w:pBdr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14284B"/>
                <w:sz w:val="16"/>
                <w:szCs w:val="16"/>
              </w:rPr>
              <w:t xml:space="preserve">DCF: DISCOUNT RATE</w:t>
            </w:r>
          </w:p>
          <w:p>
            <w:pPr>
              <w:spacing w:after="3913" w:before="0"/>
            </w:pPr>
          </w:p>
          <w:p>
            <w:pPr>
              <w:pBdr>
                <w:bottom w:val="single" w:color="E9004B" w:sz="8" w:space="1"/>
              </w:pBdr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14284B"/>
                <w:sz w:val="16"/>
                <w:szCs w:val="16"/>
              </w:rPr>
              <w:t xml:space="preserve">DCF: TERMINAL GROWTH</w:t>
            </w:r>
          </w:p>
          <w:p>
            <w:pPr>
              <w:spacing w:after="3913" w:before="0"/>
            </w:pPr>
          </w:p>
        </w:tc>
        <w:tc>
          <w:tcPr>
            <w:tcW w:type="dxa" w:w="2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/>
        </w:tc>
        <w:tc>
          <w:tcPr>
            <w:tcW w:type="dxa" w:w="35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30" w:before="20" w:line="228" w:lineRule="auto"/>
            </w:pPr>
            <w:r>
              <w:rPr>
                <w:rFonts w:ascii="Arial" w:cs="Arial" w:eastAsia="Arial" w:hAnsi="Arial"/>
                <w:b/>
                <w:bCs/>
                <w:color w:val="14284B"/>
                <w:sz w:val="14"/>
                <w:szCs w:val="14"/>
              </w:rPr>
              <w:t xml:space="preserve">Figure 27: </w:t>
            </w:r>
            <w:r>
              <w:rPr>
                <w:rFonts w:ascii="Arial" w:cs="Arial" w:eastAsia="Arial" w:hAnsi="Arial"/>
                <w:color w:val="14284B"/>
                <w:sz w:val="14"/>
                <w:szCs w:val="14"/>
              </w:rPr>
              <w:t xml:space="preserve">No method justifies the current price (CLP per share)</w:t>
            </w:r>
          </w:p>
          <w:p>
            <w:pPr>
              <w:spacing w:after="20" w:before="0"/>
            </w:pPr>
            <w:r>
              <w:drawing>
                <wp:inline distT="0" distB="0" distL="0" distR="0">
                  <wp:extent cx="2257425" cy="16954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57425" cy="1695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10" w:line="216" w:lineRule="auto"/>
            </w:pPr>
            <w:r>
              <w:rPr>
                <w:rFonts w:ascii="Arial" w:cs="Arial" w:eastAsia="Arial" w:hAnsi="Arial"/>
                <w:color w:val="5F5F5F"/>
                <w:sz w:val="11"/>
                <w:szCs w:val="11"/>
              </w:rPr>
              <w:t xml:space="preserve">52-week range pending (Bloomberg). Source: Team analysis; Bloomberg.</w:t>
            </w:r>
          </w:p>
          <w:p>
            <w:pPr>
              <w:spacing w:after="30" w:before="120" w:line="228" w:lineRule="auto"/>
            </w:pPr>
            <w:r>
              <w:rPr>
                <w:rFonts w:ascii="Arial" w:cs="Arial" w:eastAsia="Arial" w:hAnsi="Arial"/>
                <w:b/>
                <w:bCs/>
                <w:color w:val="14284B"/>
                <w:sz w:val="14"/>
                <w:szCs w:val="14"/>
              </w:rPr>
              <w:t xml:space="preserve">Figure 28: </w:t>
            </w:r>
            <w:r>
              <w:rPr>
                <w:rFonts w:ascii="Arial" w:cs="Arial" w:eastAsia="Arial" w:hAnsi="Arial"/>
                <w:color w:val="14284B"/>
                <w:sz w:val="14"/>
                <w:szCs w:val="14"/>
              </w:rPr>
              <w:t xml:space="preserve">At CLP 3,555 equity yields almost the same as debt</w:t>
            </w:r>
          </w:p>
          <w:p>
            <w:pPr>
              <w:spacing w:after="20" w:before="0"/>
            </w:pPr>
            <w:r>
              <w:drawing>
                <wp:inline distT="0" distB="0" distL="0" distR="0">
                  <wp:extent cx="2257425" cy="17335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57425" cy="1733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10" w:line="216" w:lineRule="auto"/>
            </w:pPr>
            <w:r>
              <w:rPr>
                <w:rFonts w:ascii="Arial" w:cs="Arial" w:eastAsia="Arial" w:hAnsi="Arial"/>
                <w:color w:val="5F5F5F"/>
                <w:sz w:val="11"/>
                <w:szCs w:val="11"/>
              </w:rPr>
              <w:t xml:space="preserve">Real rates in UF. Source: Central Bank of Chile (30-Jun-26); Mallplaza; Team analysis.</w:t>
            </w:r>
          </w:p>
          <w:p>
            <w:pPr>
              <w:spacing w:after="30" w:before="120" w:line="228" w:lineRule="auto"/>
            </w:pPr>
            <w:r>
              <w:rPr>
                <w:rFonts w:ascii="Arial" w:cs="Arial" w:eastAsia="Arial" w:hAnsi="Arial"/>
                <w:b/>
                <w:bCs/>
                <w:color w:val="14284B"/>
                <w:sz w:val="14"/>
                <w:szCs w:val="14"/>
              </w:rPr>
              <w:t xml:space="preserve">Figure 29: </w:t>
            </w:r>
            <w:r>
              <w:rPr>
                <w:rFonts w:ascii="Arial" w:cs="Arial" w:eastAsia="Arial" w:hAnsi="Arial"/>
                <w:color w:val="14284B"/>
                <w:sz w:val="14"/>
                <w:szCs w:val="14"/>
              </w:rPr>
              <w:t xml:space="preserve">Growing below the WACC destroys value: real g = 0%</w:t>
            </w:r>
          </w:p>
          <w:p>
            <w:pPr>
              <w:spacing w:after="20" w:before="0"/>
            </w:pPr>
            <w:r>
              <w:drawing>
                <wp:inline distT="0" distB="0" distL="0" distR="0">
                  <wp:extent cx="2257425" cy="21526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57425" cy="2152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10" w:line="216" w:lineRule="auto"/>
            </w:pPr>
            <w:r>
              <w:rPr>
                <w:rFonts w:ascii="Arial" w:cs="Arial" w:eastAsia="Arial" w:hAnsi="Arial"/>
                <w:color w:val="5F5F5F"/>
                <w:sz w:val="11"/>
                <w:szCs w:val="11"/>
              </w:rPr>
              <w:t xml:space="preserve">Top: DCF value by g. Bottom: relative terminal value by RONIC. Source: Team analysis.</w:t>
            </w:r>
          </w:p>
        </w:tc>
      </w:tr>
    </w:tbl>
    <w:p>
      <w:pPr>
        <w:pageBreakBefore/>
        <w:spacing w:after="0"/>
      </w:pPr>
    </w:p>
    <w:tbl>
      <w:tblPr>
        <w:tblW w:type="dxa" w:w="106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6900"/>
        <w:gridCol w:w="216"/>
        <w:gridCol w:w="3550"/>
      </w:tblGrid>
      <w:tr>
        <w:trPr>
          <w:cantSplit/>
        </w:trPr>
        <w:tc>
          <w:tcPr>
            <w:tcW w:type="dxa" w:w="6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Bdr>
                <w:bottom w:val="single" w:color="E9004B" w:sz="8" w:space="1"/>
              </w:pBdr>
              <w:spacing w:after="50" w:before="20"/>
            </w:pPr>
            <w:r>
              <w:rPr>
                <w:rFonts w:ascii="Arial" w:cs="Arial" w:eastAsia="Arial" w:hAnsi="Arial"/>
                <w:b/>
                <w:bCs/>
                <w:color w:val="14284B"/>
                <w:sz w:val="16"/>
                <w:szCs w:val="16"/>
              </w:rPr>
              <w:t xml:space="preserve">DCF: WORKING CAPITAL</w:t>
            </w:r>
          </w:p>
          <w:p>
            <w:pPr>
              <w:spacing w:after="3055" w:before="0"/>
            </w:pPr>
          </w:p>
          <w:p>
            <w:pPr>
              <w:pBdr>
                <w:bottom w:val="single" w:color="E9004B" w:sz="8" w:space="1"/>
              </w:pBdr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14284B"/>
                <w:sz w:val="16"/>
                <w:szCs w:val="16"/>
              </w:rPr>
              <w:t xml:space="preserve">DCF VALIDATION</w:t>
            </w:r>
          </w:p>
          <w:p>
            <w:pPr>
              <w:spacing w:after="3055" w:before="0"/>
            </w:pPr>
          </w:p>
          <w:p>
            <w:pPr>
              <w:pBdr>
                <w:bottom w:val="single" w:color="E9004B" w:sz="8" w:space="1"/>
              </w:pBdr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14284B"/>
                <w:sz w:val="16"/>
                <w:szCs w:val="16"/>
              </w:rPr>
              <w:t xml:space="preserve">COMPARABLE MULTIPLES (20%)</w:t>
            </w:r>
          </w:p>
          <w:p>
            <w:pPr>
              <w:spacing w:after="3055" w:before="0"/>
            </w:pPr>
          </w:p>
          <w:p>
            <w:pPr>
              <w:pBdr>
                <w:bottom w:val="single" w:color="E9004B" w:sz="8" w:space="1"/>
              </w:pBdr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14284B"/>
                <w:sz w:val="16"/>
                <w:szCs w:val="16"/>
              </w:rPr>
              <w:t xml:space="preserve">VALUATION SENSITIVITY AND RISK</w:t>
            </w:r>
          </w:p>
          <w:p>
            <w:pPr>
              <w:spacing w:after="3055" w:before="0"/>
            </w:pPr>
          </w:p>
        </w:tc>
        <w:tc>
          <w:tcPr>
            <w:tcW w:type="dxa" w:w="2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/>
        </w:tc>
        <w:tc>
          <w:tcPr>
            <w:tcW w:type="dxa" w:w="35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30" w:before="20" w:line="228" w:lineRule="auto"/>
            </w:pPr>
            <w:r>
              <w:rPr>
                <w:rFonts w:ascii="Arial" w:cs="Arial" w:eastAsia="Arial" w:hAnsi="Arial"/>
                <w:b/>
                <w:bCs/>
                <w:color w:val="14284B"/>
                <w:sz w:val="14"/>
                <w:szCs w:val="14"/>
              </w:rPr>
              <w:t xml:space="preserve">Figure 30: </w:t>
            </w:r>
            <w:r>
              <w:rPr>
                <w:rFonts w:ascii="Arial" w:cs="Arial" w:eastAsia="Arial" w:hAnsi="Arial"/>
                <w:color w:val="14284B"/>
                <w:sz w:val="14"/>
                <w:szCs w:val="14"/>
              </w:rPr>
              <w:t xml:space="preserve">Working capital: an assumption that does not move the price (±1.2%)</w:t>
            </w:r>
          </w:p>
          <w:p>
            <w:pPr>
              <w:spacing w:after="20" w:before="0"/>
            </w:pPr>
            <w:r>
              <w:drawing>
                <wp:inline distT="0" distB="0" distL="0" distR="0">
                  <wp:extent cx="2257425" cy="21050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57425" cy="2105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10" w:line="216" w:lineRule="auto"/>
            </w:pPr>
            <w:r>
              <w:rPr>
                <w:rFonts w:ascii="Arial" w:cs="Arial" w:eastAsia="Arial" w:hAnsi="Arial"/>
                <w:color w:val="5F5F5F"/>
                <w:sz w:val="11"/>
                <w:szCs w:val="11"/>
              </w:rPr>
              <w:t xml:space="preserve">Source: Mallplaza financial statements; Team analysis.</w:t>
            </w:r>
          </w:p>
          <w:p>
            <w:pPr>
              <w:spacing w:after="30" w:before="120" w:line="228" w:lineRule="auto"/>
            </w:pPr>
            <w:r>
              <w:rPr>
                <w:rFonts w:ascii="Arial" w:cs="Arial" w:eastAsia="Arial" w:hAnsi="Arial"/>
                <w:b/>
                <w:bCs/>
                <w:color w:val="14284B"/>
                <w:sz w:val="14"/>
                <w:szCs w:val="14"/>
              </w:rPr>
              <w:t xml:space="preserve">Figure 31: </w:t>
            </w:r>
            <w:r>
              <w:rPr>
                <w:rFonts w:ascii="Arial" w:cs="Arial" w:eastAsia="Arial" w:hAnsi="Arial"/>
                <w:color w:val="14284B"/>
                <w:sz w:val="14"/>
                <w:szCs w:val="14"/>
              </w:rPr>
              <w:t xml:space="preserve">The market pays 6.0%; our cash flows are worth 10.1%</w:t>
            </w:r>
          </w:p>
          <w:p>
            <w:pPr>
              <w:spacing w:after="20" w:before="0"/>
            </w:pPr>
            <w:r>
              <w:drawing>
                <wp:inline distT="0" distB="0" distL="0" distR="0">
                  <wp:extent cx="2257425" cy="16002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57425" cy="1600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10" w:line="216" w:lineRule="auto"/>
            </w:pPr>
            <w:r>
              <w:rPr>
                <w:rFonts w:ascii="Arial" w:cs="Arial" w:eastAsia="Arial" w:hAnsi="Arial"/>
                <w:color w:val="5F5F5F"/>
                <w:sz w:val="11"/>
                <w:szCs w:val="11"/>
              </w:rPr>
              <w:t xml:space="preserve">Gran Plaza: subsequent event, not in the model. Source: Mallplaza; Bloomberg; DF; Team analysis.</w:t>
            </w:r>
          </w:p>
          <w:p>
            <w:pPr>
              <w:spacing w:after="30" w:before="120" w:line="228" w:lineRule="auto"/>
            </w:pPr>
            <w:r>
              <w:rPr>
                <w:rFonts w:ascii="Arial" w:cs="Arial" w:eastAsia="Arial" w:hAnsi="Arial"/>
                <w:b/>
                <w:bCs/>
                <w:color w:val="14284B"/>
                <w:sz w:val="14"/>
                <w:szCs w:val="14"/>
              </w:rPr>
              <w:t xml:space="preserve">Figure 32: </w:t>
            </w:r>
            <w:r>
              <w:rPr>
                <w:rFonts w:ascii="Arial" w:cs="Arial" w:eastAsia="Arial" w:hAnsi="Arial"/>
                <w:color w:val="14284B"/>
                <w:sz w:val="14"/>
                <w:szCs w:val="14"/>
              </w:rPr>
              <w:t xml:space="preserve">The price requires a WACC 285 bp lower</w:t>
            </w:r>
          </w:p>
          <w:p>
            <w:pPr>
              <w:spacing w:after="20" w:before="0"/>
            </w:pPr>
            <w:r>
              <w:drawing>
                <wp:inline distT="0" distB="0" distL="0" distR="0">
                  <wp:extent cx="2257425" cy="17811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57425" cy="1781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10" w:line="216" w:lineRule="auto"/>
            </w:pPr>
            <w:r>
              <w:rPr>
                <w:rFonts w:ascii="Arial" w:cs="Arial" w:eastAsia="Arial" w:hAnsi="Arial"/>
                <w:color w:val="5F5F5F"/>
                <w:sz w:val="11"/>
                <w:szCs w:val="11"/>
              </w:rPr>
              <w:t xml:space="preserve">Source: Team analysis.</w:t>
            </w:r>
          </w:p>
        </w:tc>
      </w:tr>
    </w:tbl>
    <w:p>
      <w:pPr>
        <w:sectPr>
          <w:headerReference w:type="default" r:id="rId7"/>
          <w:footerReference w:type="default" r:id="rId8"/>
          <w:pgSz w:w="11906" w:h="16838" w:orient="portrait"/>
          <w:pgMar w:top="1000" w:right="620" w:bottom="900" w:left="620" w:header="450" w:footer="400" w:gutter="0"/>
          <w:pgNumType/>
          <w:docGrid w:linePitch="360"/>
        </w:sectPr>
      </w:pPr>
    </w:p>
    <w:p>
      <w:pPr>
        <w:pBdr>
          <w:bottom w:val="single" w:color="14284B" w:sz="18" w:space="2"/>
        </w:pBdr>
        <w:spacing w:after="80"/>
      </w:pPr>
      <w:r>
        <w:rPr>
          <w:rFonts w:ascii="Arial" w:cs="Arial" w:eastAsia="Arial" w:hAnsi="Arial"/>
          <w:b/>
          <w:bCs/>
          <w:color w:val="14284B"/>
          <w:sz w:val="30"/>
          <w:szCs w:val="30"/>
        </w:rPr>
        <w:t xml:space="preserve">APPENDIX [Z]: WACC CONSTRUCTION</w:t>
      </w:r>
    </w:p>
    <w:p>
      <w:pPr>
        <w:shd w:fill="EEF1F6" w:color="auto" w:val="clear"/>
        <w:spacing w:after="60" w:line="228" w:lineRule="auto"/>
        <w:jc w:val="both"/>
      </w:pPr>
      <w:r>
        <w:rPr>
          <w:rFonts w:ascii="Arial" w:cs="Arial" w:eastAsia="Arial" w:hAnsi="Arial"/>
          <w:color w:val="1A1A1A"/>
          <w:sz w:val="16"/>
          <w:szCs w:val="16"/>
        </w:rPr>
        <w:t xml:space="preserve">The WACC is computed per period: D/E converges linearly from the current structure (20.0%) to the target (28.5%, net debt/EBITDA 3.5x) in 2031. The cost of equity is built in dollars (US Treasury Rf + re-levered beta × ERP + revenue-weighted CRP) and converted to pesos with the inflation differential.</w:t>
      </w:r>
    </w:p>
    <w:p>
      <w:pPr>
        <w:spacing w:after="10"/>
        <w:ind w:left="240"/>
      </w:pPr>
      <w:r>
        <w:rPr>
          <w:rFonts w:ascii="Arial" w:cs="Arial" w:eastAsia="Arial" w:hAnsi="Arial"/>
          <w:b/>
          <w:bCs/>
          <w:color w:val="14284B"/>
          <w:sz w:val="14"/>
          <w:szCs w:val="14"/>
        </w:rPr>
        <w:t xml:space="preserve">βL = βU × [1 + (1 − t) × D/E]  (Hamada)</w:t>
      </w:r>
    </w:p>
    <w:p>
      <w:pPr>
        <w:spacing w:after="10"/>
        <w:ind w:left="240"/>
      </w:pPr>
      <w:r>
        <w:rPr>
          <w:rFonts w:ascii="Arial" w:cs="Arial" w:eastAsia="Arial" w:hAnsi="Arial"/>
          <w:b/>
          <w:bCs/>
          <w:color w:val="14284B"/>
          <w:sz w:val="14"/>
          <w:szCs w:val="14"/>
        </w:rPr>
        <w:t xml:space="preserve">Ke USD = Rf + βL × ERP + weighted CRP</w:t>
      </w:r>
    </w:p>
    <w:p>
      <w:pPr>
        <w:spacing w:after="10"/>
        <w:ind w:left="240"/>
      </w:pPr>
      <w:r>
        <w:rPr>
          <w:rFonts w:ascii="Arial" w:cs="Arial" w:eastAsia="Arial" w:hAnsi="Arial"/>
          <w:b/>
          <w:bCs/>
          <w:color w:val="14284B"/>
          <w:sz w:val="14"/>
          <w:szCs w:val="14"/>
        </w:rPr>
        <w:t xml:space="preserve">Ke CLP = (1 + Ke USD) × (1 + π Chile) / (1 + π US) − 1</w:t>
      </w:r>
    </w:p>
    <w:p>
      <w:pPr>
        <w:spacing w:after="10"/>
        <w:ind w:left="240"/>
      </w:pPr>
      <w:r>
        <w:rPr>
          <w:rFonts w:ascii="Arial" w:cs="Arial" w:eastAsia="Arial" w:hAnsi="Arial"/>
          <w:b/>
          <w:bCs/>
          <w:color w:val="14284B"/>
          <w:sz w:val="14"/>
          <w:szCs w:val="14"/>
        </w:rPr>
        <w:t xml:space="preserve">Kd CLP = (1 + real Kd + spread) × (1 + π Chile) − 1</w:t>
      </w:r>
    </w:p>
    <w:p>
      <w:pPr>
        <w:spacing w:after="10"/>
        <w:ind w:left="240"/>
      </w:pPr>
      <w:r>
        <w:rPr>
          <w:rFonts w:ascii="Arial" w:cs="Arial" w:eastAsia="Arial" w:hAnsi="Arial"/>
          <w:b/>
          <w:bCs/>
          <w:color w:val="14284B"/>
          <w:sz w:val="14"/>
          <w:szCs w:val="14"/>
        </w:rPr>
        <w:t xml:space="preserve">WACC = E/V × Ke CLP + D/V × Kd CLP × (1 − t)</w:t>
      </w:r>
    </w:p>
    <w:p>
      <w:pPr>
        <w:pBdr>
          <w:bottom w:val="single" w:color="E9004B" w:sz="8" w:space="1"/>
        </w:pBdr>
        <w:spacing w:after="50" w:before="140"/>
      </w:pPr>
      <w:r>
        <w:rPr>
          <w:rFonts w:ascii="Arial" w:cs="Arial" w:eastAsia="Arial" w:hAnsi="Arial"/>
          <w:b/>
          <w:bCs/>
          <w:color w:val="14284B"/>
          <w:sz w:val="16"/>
          <w:szCs w:val="16"/>
        </w:rPr>
        <w:t xml:space="preserve">A. MARKET AND CAPITAL STRUCTURE ASSUMPTIONS</w:t>
      </w:r>
    </w:p>
    <w:tbl>
      <w:tblPr>
        <w:tblW w:type="dxa" w:w="106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800"/>
        <w:gridCol w:w="2400"/>
        <w:gridCol w:w="3466"/>
      </w:tblGrid>
      <w:tr>
        <w:trPr>
          <w:tblHeader/>
        </w:trPr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284B" w:color="auto" w:val="clear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Assumption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284B" w:color="auto" w:val="clear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Value</w:t>
            </w:r>
          </w:p>
        </w:tc>
        <w:tc>
          <w:tcPr>
            <w:tcW w:type="dxa" w:w="34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284B" w:color="auto" w:val="clear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Source</w:t>
            </w:r>
          </w:p>
        </w:tc>
      </w:tr>
      <w:tr>
        <w:tc>
          <w:tcPr>
            <w:tcW w:type="dxa" w:w="48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Rf: 10Y US Treasury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4.98%</w:t>
            </w:r>
          </w:p>
        </w:tc>
        <w:tc>
          <w:tcPr>
            <w:tcW w:type="dxa" w:w="3466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Tasa_WACC (FFCF)</w:t>
            </w:r>
          </w:p>
        </w:tc>
      </w:tr>
      <w:tr>
        <w:tc>
          <w:tcPr>
            <w:tcW w:type="dxa" w:w="48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Equity risk premium (ERP)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4.14%</w:t>
            </w:r>
          </w:p>
        </w:tc>
        <w:tc>
          <w:tcPr>
            <w:tcW w:type="dxa" w:w="3466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Damodaran</w:t>
            </w:r>
          </w:p>
        </w:tc>
      </w:tr>
      <w:tr>
        <w:tc>
          <w:tcPr>
            <w:tcW w:type="dxa" w:w="48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Long-term inflation, Chile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3.00%</w:t>
            </w:r>
          </w:p>
        </w:tc>
        <w:tc>
          <w:tcPr>
            <w:tcW w:type="dxa" w:w="3466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Central Bank target</w:t>
            </w:r>
          </w:p>
        </w:tc>
      </w:tr>
      <w:tr>
        <w:tc>
          <w:tcPr>
            <w:tcW w:type="dxa" w:w="48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Long-term inflation, US (10Y breakeven)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2.24%</w:t>
            </w:r>
          </w:p>
        </w:tc>
        <w:tc>
          <w:tcPr>
            <w:tcW w:type="dxa" w:w="3466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Bloomberg, Jun-26</w:t>
            </w:r>
          </w:p>
        </w:tc>
      </w:tr>
      <w:tr>
        <w:tc>
          <w:tcPr>
            <w:tcW w:type="dxa" w:w="48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Chilean tax rate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27.00%</w:t>
            </w:r>
          </w:p>
        </w:tc>
        <w:tc>
          <w:tcPr>
            <w:tcW w:type="dxa" w:w="3466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Income Tax Law</w:t>
            </w:r>
          </w:p>
        </w:tc>
      </w:tr>
      <w:tr>
        <w:tc>
          <w:tcPr>
            <w:tcW w:type="dxa" w:w="48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Real Kd: latest UF bond coupon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3.60%</w:t>
            </w:r>
          </w:p>
        </w:tc>
        <w:tc>
          <w:tcPr>
            <w:tcW w:type="dxa" w:w="3466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Mallplaza</w:t>
            </w:r>
          </w:p>
        </w:tc>
      </w:tr>
      <w:tr>
        <w:tc>
          <w:tcPr>
            <w:tcW w:type="dxa" w:w="48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Real Kd increase per turn of net debt/EBITDA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0.25%</w:t>
            </w:r>
          </w:p>
        </w:tc>
        <w:tc>
          <w:tcPr>
            <w:tcW w:type="dxa" w:w="3466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Team assumption</w:t>
            </w:r>
          </w:p>
        </w:tc>
      </w:tr>
      <w:tr>
        <w:tc>
          <w:tcPr>
            <w:tcW w:type="dxa" w:w="48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Net debt/EBITDA initial (30-Jun-26) → target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2.36x → 3.5x</w:t>
            </w:r>
          </w:p>
        </w:tc>
        <w:tc>
          <w:tcPr>
            <w:tcW w:type="dxa" w:w="3466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2Q26 release; team assumption</w:t>
            </w:r>
          </w:p>
        </w:tc>
      </w:tr>
      <w:tr>
        <w:tc>
          <w:tcPr>
            <w:tcW w:type="dxa" w:w="48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Gross debt / market cap (current structure, CLP MM)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1,579 / 7,906 (thousands)</w:t>
            </w:r>
          </w:p>
        </w:tc>
        <w:tc>
          <w:tcPr>
            <w:tcW w:type="dxa" w:w="3466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Tasa_WACC (FFCF)</w:t>
            </w:r>
          </w:p>
        </w:tc>
      </w:tr>
    </w:tbl>
    <w:p>
      <w:pPr>
        <w:pBdr>
          <w:bottom w:val="single" w:color="E9004B" w:sz="8" w:space="1"/>
        </w:pBdr>
        <w:spacing w:after="50" w:before="140"/>
      </w:pPr>
      <w:r>
        <w:rPr>
          <w:rFonts w:ascii="Arial" w:cs="Arial" w:eastAsia="Arial" w:hAnsi="Arial"/>
          <w:b/>
          <w:bCs/>
          <w:color w:val="14284B"/>
          <w:sz w:val="16"/>
          <w:szCs w:val="16"/>
        </w:rPr>
        <w:t xml:space="preserve">B. BETA: UNLEVERED PEERS</w:t>
      </w:r>
    </w:p>
    <w:tbl>
      <w:tblPr>
        <w:tblW w:type="dxa" w:w="106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766"/>
        <w:gridCol w:w="1400"/>
        <w:gridCol w:w="1900"/>
        <w:gridCol w:w="2100"/>
        <w:gridCol w:w="1100"/>
        <w:gridCol w:w="1400"/>
      </w:tblGrid>
      <w:tr>
        <w:trPr>
          <w:tblHeader/>
        </w:trPr>
        <w:tc>
          <w:tcPr>
            <w:tcW w:type="dxa" w:w="27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284B" w:color="auto" w:val="clear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Company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284B" w:color="auto" w:val="clear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Levered β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284B" w:color="auto" w:val="clear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Debt (CLP MM)</w:t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284B" w:color="auto" w:val="clear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Market cap (CLP MM)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284B" w:color="auto" w:val="clear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Tax rate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284B" w:color="auto" w:val="clear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Unlevered β</w:t>
            </w:r>
          </w:p>
        </w:tc>
      </w:tr>
      <w:tr>
        <w:tc>
          <w:tcPr>
            <w:tcW w:type="dxa" w:w="2766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Parque Arauco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1.250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1,700,507</w:t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3,828,031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27%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0.944</w:t>
            </w:r>
          </w:p>
        </w:tc>
      </w:tr>
      <w:tr>
        <w:tc>
          <w:tcPr>
            <w:tcW w:type="dxa" w:w="2766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Cencosud Shopping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1.075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762,154</w:t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3,942,858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27%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0.942</w:t>
            </w:r>
          </w:p>
        </w:tc>
      </w:tr>
      <w:tr>
        <w:tc>
          <w:tcPr>
            <w:tcW w:type="dxa" w:w="2766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Allos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1.164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960,191</w:t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2,712,166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34%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0.944</w:t>
            </w:r>
          </w:p>
        </w:tc>
      </w:tr>
      <w:tr>
        <w:tc>
          <w:tcPr>
            <w:tcW w:type="dxa" w:w="2766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Iguatemi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0.908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647,397</w:t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1,421,560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34%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0.698</w:t>
            </w:r>
          </w:p>
        </w:tc>
      </w:tr>
      <w:tr>
        <w:tc>
          <w:tcPr>
            <w:tcW w:type="dxa" w:w="2766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IRSA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0.427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625,047</w:t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1,218,777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35%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0.320</w:t>
            </w:r>
          </w:p>
        </w:tc>
      </w:tr>
      <w:tr>
        <w:tc>
          <w:tcPr>
            <w:tcW w:type="dxa" w:w="2766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Multiplan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1.219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191,478</w:t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2,959,845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34%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1.169</w:t>
            </w:r>
          </w:p>
        </w:tc>
      </w:tr>
      <w:tr>
        <w:tc>
          <w:tcPr>
            <w:tcW w:type="dxa" w:w="2766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DF1CC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3"/>
                <w:szCs w:val="13"/>
              </w:rPr>
              <w:t xml:space="preserve">Median (6 peers included)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DF1CC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/>
                <w:bCs/>
                <w:color w:val="1A1A1A"/>
                <w:sz w:val="13"/>
                <w:szCs w:val="13"/>
              </w:rPr>
              <w:t xml:space="preserve"/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DF1CC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/>
                <w:bCs/>
                <w:color w:val="1A1A1A"/>
                <w:sz w:val="13"/>
                <w:szCs w:val="13"/>
              </w:rPr>
              <w:t xml:space="preserve"/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DF1CC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/>
                <w:bCs/>
                <w:color w:val="1A1A1A"/>
                <w:sz w:val="13"/>
                <w:szCs w:val="13"/>
              </w:rPr>
              <w:t xml:space="preserve"/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DF1CC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/>
                <w:bCs/>
                <w:color w:val="1A1A1A"/>
                <w:sz w:val="13"/>
                <w:szCs w:val="13"/>
              </w:rPr>
              <w:t xml:space="preserve"/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DF1CC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/>
                <w:bCs/>
                <w:color w:val="1A1A1A"/>
                <w:sz w:val="13"/>
                <w:szCs w:val="13"/>
              </w:rPr>
              <w:t xml:space="preserve">0.9428</w:t>
            </w:r>
          </w:p>
        </w:tc>
      </w:tr>
    </w:tbl>
    <w:p>
      <w:pPr>
        <w:spacing w:after="0" w:before="10" w:line="216" w:lineRule="auto"/>
      </w:pPr>
      <w:r>
        <w:rPr>
          <w:rFonts w:ascii="Arial" w:cs="Arial" w:eastAsia="Arial" w:hAnsi="Arial"/>
          <w:color w:val="5F5F5F"/>
          <w:sz w:val="11"/>
          <w:szCs w:val="11"/>
        </w:rPr>
        <w:t xml:space="preserve">Source: Bloomberg (betas), Tasa_WACC. Costa Verde is excluded because it is not in the comparables set.</w:t>
      </w:r>
    </w:p>
    <w:p>
      <w:pPr>
        <w:pBdr>
          <w:bottom w:val="single" w:color="E9004B" w:sz="8" w:space="1"/>
        </w:pBdr>
        <w:spacing w:after="50" w:before="140"/>
      </w:pPr>
      <w:r>
        <w:rPr>
          <w:rFonts w:ascii="Arial" w:cs="Arial" w:eastAsia="Arial" w:hAnsi="Arial"/>
          <w:b/>
          <w:bCs/>
          <w:color w:val="14284B"/>
          <w:sz w:val="16"/>
          <w:szCs w:val="16"/>
        </w:rPr>
        <w:t xml:space="preserve">C. REVENUE-WEIGHTED COUNTRY RISK</w:t>
      </w:r>
    </w:p>
    <w:tbl>
      <w:tblPr>
        <w:tblW w:type="dxa" w:w="106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166"/>
        <w:gridCol w:w="2700"/>
        <w:gridCol w:w="2400"/>
        <w:gridCol w:w="2400"/>
      </w:tblGrid>
      <w:tr>
        <w:trPr>
          <w:tblHeader/>
        </w:trPr>
        <w:tc>
          <w:tcPr>
            <w:tcW w:type="dxa" w:w="31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284B" w:color="auto" w:val="clear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Country</w:t>
            </w:r>
          </w:p>
        </w:tc>
        <w:tc>
          <w:tcPr>
            <w:tcW w:type="dxa" w:w="2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284B" w:color="auto" w:val="clear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Weight (LTM revenue)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284B" w:color="auto" w:val="clear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CRP (Damodaran)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284B" w:color="auto" w:val="clear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Contribution</w:t>
            </w:r>
          </w:p>
        </w:tc>
      </w:tr>
      <w:tr>
        <w:tc>
          <w:tcPr>
            <w:tcW w:type="dxa" w:w="3166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Chile</w:t>
            </w:r>
          </w:p>
        </w:tc>
        <w:tc>
          <w:tcPr>
            <w:tcW w:type="dxa" w:w="27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71.8%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1.04%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0.75%</w:t>
            </w:r>
          </w:p>
        </w:tc>
      </w:tr>
      <w:tr>
        <w:tc>
          <w:tcPr>
            <w:tcW w:type="dxa" w:w="3166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Peru</w:t>
            </w:r>
          </w:p>
        </w:tc>
        <w:tc>
          <w:tcPr>
            <w:tcW w:type="dxa" w:w="27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17.7%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1.55%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0.27%</w:t>
            </w:r>
          </w:p>
        </w:tc>
      </w:tr>
      <w:tr>
        <w:tc>
          <w:tcPr>
            <w:tcW w:type="dxa" w:w="3166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Colombia</w:t>
            </w:r>
          </w:p>
        </w:tc>
        <w:tc>
          <w:tcPr>
            <w:tcW w:type="dxa" w:w="27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10.5%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3.70%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0.39%</w:t>
            </w:r>
          </w:p>
        </w:tc>
      </w:tr>
      <w:tr>
        <w:tc>
          <w:tcPr>
            <w:tcW w:type="dxa" w:w="3166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DF1CC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3"/>
                <w:szCs w:val="13"/>
              </w:rPr>
              <w:t xml:space="preserve">Weighted CRP</w:t>
            </w:r>
          </w:p>
        </w:tc>
        <w:tc>
          <w:tcPr>
            <w:tcW w:type="dxa" w:w="27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DF1CC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/>
                <w:bCs/>
                <w:color w:val="1A1A1A"/>
                <w:sz w:val="13"/>
                <w:szCs w:val="13"/>
              </w:rPr>
              <w:t xml:space="preserve">100.0%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DF1CC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/>
                <w:bCs/>
                <w:color w:val="1A1A1A"/>
                <w:sz w:val="13"/>
                <w:szCs w:val="13"/>
              </w:rPr>
              <w:t xml:space="preserve"/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DF1CC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/>
                <w:bCs/>
                <w:color w:val="1A1A1A"/>
                <w:sz w:val="13"/>
                <w:szCs w:val="13"/>
              </w:rPr>
              <w:t xml:space="preserve">1.41%</w:t>
            </w:r>
          </w:p>
        </w:tc>
      </w:tr>
    </w:tbl>
    <w:p>
      <w:pPr>
        <w:pBdr>
          <w:bottom w:val="single" w:color="E9004B" w:sz="8" w:space="1"/>
        </w:pBdr>
        <w:spacing w:after="50" w:before="140"/>
      </w:pPr>
      <w:r>
        <w:rPr>
          <w:rFonts w:ascii="Arial" w:cs="Arial" w:eastAsia="Arial" w:hAnsi="Arial"/>
          <w:b/>
          <w:bCs/>
          <w:color w:val="14284B"/>
          <w:sz w:val="16"/>
          <w:szCs w:val="16"/>
        </w:rPr>
        <w:t xml:space="preserve">D. WACC BY PERIOD</w:t>
      </w:r>
    </w:p>
    <w:tbl>
      <w:tblPr>
        <w:tblW w:type="dxa" w:w="106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866"/>
        <w:gridCol w:w="1100"/>
        <w:gridCol w:w="1100"/>
        <w:gridCol w:w="1100"/>
        <w:gridCol w:w="1100"/>
        <w:gridCol w:w="1100"/>
        <w:gridCol w:w="1100"/>
        <w:gridCol w:w="1200"/>
      </w:tblGrid>
      <w:tr>
        <w:trPr>
          <w:tblHeader/>
        </w:trPr>
        <w:tc>
          <w:tcPr>
            <w:tcW w:type="dxa" w:w="28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284B" w:color="auto" w:val="clear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/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284B" w:color="auto" w:val="clear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2H26E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284B" w:color="auto" w:val="clear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2027E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284B" w:color="auto" w:val="clear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2028E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284B" w:color="auto" w:val="clear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2029E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284B" w:color="auto" w:val="clear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2030E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284B" w:color="auto" w:val="clear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2031E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284B" w:color="auto" w:val="clear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Terminal</w:t>
            </w:r>
          </w:p>
        </w:tc>
      </w:tr>
      <w:tr>
        <w:tc>
          <w:tcPr>
            <w:tcW w:type="dxa" w:w="2866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Net debt/EBITDA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2.46x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2.67x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2.88x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3.09x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3.29x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3.50x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3.50x</w:t>
            </w:r>
          </w:p>
        </w:tc>
      </w:tr>
      <w:tr>
        <w:tc>
          <w:tcPr>
            <w:tcW w:type="dxa" w:w="2866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D/E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20.8%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22.3%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23.9%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25.4%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27.0%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28.5%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28.5%</w:t>
            </w:r>
          </w:p>
        </w:tc>
      </w:tr>
      <w:tr>
        <w:tc>
          <w:tcPr>
            <w:tcW w:type="dxa" w:w="2866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D/V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17.2%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18.2%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19.3%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20.3%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21.2%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22.2%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22.2%</w:t>
            </w:r>
          </w:p>
        </w:tc>
      </w:tr>
      <w:tr>
        <w:tc>
          <w:tcPr>
            <w:tcW w:type="dxa" w:w="2866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Re-levered beta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1.086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1.096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1.107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1.118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1.128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1.139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1.139</w:t>
            </w:r>
          </w:p>
        </w:tc>
      </w:tr>
      <w:tr>
        <w:tc>
          <w:tcPr>
            <w:tcW w:type="dxa" w:w="2866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Ke USD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10.88%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10.93%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10.97%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11.02%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11.06%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11.10%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11.10%</w:t>
            </w:r>
          </w:p>
        </w:tc>
      </w:tr>
      <w:tr>
        <w:tc>
          <w:tcPr>
            <w:tcW w:type="dxa" w:w="2866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Nominal Ke CLP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11.70%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11.75%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11.79%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11.84%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11.88%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11.93%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11.93%</w:t>
            </w:r>
          </w:p>
        </w:tc>
      </w:tr>
      <w:tr>
        <w:tc>
          <w:tcPr>
            <w:tcW w:type="dxa" w:w="2866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Real Kd (UF) incl. spread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3.63%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3.68%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3.73%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3.78%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3.83%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3.89%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3.89%</w:t>
            </w:r>
          </w:p>
        </w:tc>
      </w:tr>
      <w:tr>
        <w:tc>
          <w:tcPr>
            <w:tcW w:type="dxa" w:w="2866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Nominal Kd CLP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6.73%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6.79%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6.84%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6.89%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6.95%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7.00%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7.00%</w:t>
            </w:r>
          </w:p>
        </w:tc>
      </w:tr>
      <w:tr>
        <w:tc>
          <w:tcPr>
            <w:tcW w:type="dxa" w:w="2866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After-tax Kd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4.92%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4.96%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4.99%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5.03%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5.07%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5.11%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5.11%</w:t>
            </w:r>
          </w:p>
        </w:tc>
      </w:tr>
      <w:tr>
        <w:tc>
          <w:tcPr>
            <w:tcW w:type="dxa" w:w="2866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DF1CC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3"/>
                <w:szCs w:val="13"/>
              </w:rPr>
              <w:t xml:space="preserve">Nominal WACC CLP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DF1CC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/>
                <w:bCs/>
                <w:color w:val="1A1A1A"/>
                <w:sz w:val="13"/>
                <w:szCs w:val="13"/>
              </w:rPr>
              <w:t xml:space="preserve">10.54%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DF1CC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/>
                <w:bCs/>
                <w:color w:val="1A1A1A"/>
                <w:sz w:val="13"/>
                <w:szCs w:val="13"/>
              </w:rPr>
              <w:t xml:space="preserve">10.51%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DF1CC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/>
                <w:bCs/>
                <w:color w:val="1A1A1A"/>
                <w:sz w:val="13"/>
                <w:szCs w:val="13"/>
              </w:rPr>
              <w:t xml:space="preserve">10.48%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DF1CC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/>
                <w:bCs/>
                <w:color w:val="1A1A1A"/>
                <w:sz w:val="13"/>
                <w:szCs w:val="13"/>
              </w:rPr>
              <w:t xml:space="preserve">10.46%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DF1CC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/>
                <w:bCs/>
                <w:color w:val="1A1A1A"/>
                <w:sz w:val="13"/>
                <w:szCs w:val="13"/>
              </w:rPr>
              <w:t xml:space="preserve">10.44%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DF1CC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/>
                <w:bCs/>
                <w:color w:val="1A1A1A"/>
                <w:sz w:val="13"/>
                <w:szCs w:val="13"/>
              </w:rPr>
              <w:t xml:space="preserve">10.41%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DF1CC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/>
                <w:bCs/>
                <w:color w:val="1A1A1A"/>
                <w:sz w:val="13"/>
                <w:szCs w:val="13"/>
              </w:rPr>
              <w:t xml:space="preserve">10.41%</w:t>
            </w:r>
          </w:p>
        </w:tc>
      </w:tr>
      <w:tr>
        <w:tc>
          <w:tcPr>
            <w:tcW w:type="dxa" w:w="2866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Real WACC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7.32%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7.29%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7.26%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7.24%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7.22%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7.20%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7.20%</w:t>
            </w:r>
          </w:p>
        </w:tc>
      </w:tr>
    </w:tbl>
    <w:tbl>
      <w:tblPr>
        <w:tblW w:type="dxa" w:w="106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225"/>
        <w:gridCol w:w="216"/>
        <w:gridCol w:w="5225"/>
      </w:tblGrid>
      <w:tr>
        <w:trPr>
          <w:cantSplit/>
        </w:trPr>
        <w:tc>
          <w:tcPr>
            <w:tcW w:type="dxa" w:w="522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30" w:before="140" w:line="228" w:lineRule="auto"/>
            </w:pPr>
            <w:r>
              <w:rPr>
                <w:rFonts w:ascii="Arial" w:cs="Arial" w:eastAsia="Arial" w:hAnsi="Arial"/>
                <w:b/>
                <w:bCs/>
                <w:color w:val="14284B"/>
                <w:sz w:val="14"/>
                <w:szCs w:val="14"/>
              </w:rPr>
              <w:t xml:space="preserve">Figure Z1: </w:t>
            </w:r>
            <w:r>
              <w:rPr>
                <w:rFonts w:ascii="Arial" w:cs="Arial" w:eastAsia="Arial" w:hAnsi="Arial"/>
                <w:color w:val="14284B"/>
                <w:sz w:val="14"/>
                <w:szCs w:val="14"/>
              </w:rPr>
              <w:t xml:space="preserve">Nominal WACC and D/E by period</w:t>
            </w:r>
          </w:p>
          <w:p>
            <w:pPr>
              <w:spacing w:after="20" w:before="0"/>
            </w:pPr>
            <w:r>
              <w:drawing>
                <wp:inline distT="0" distB="0" distL="0" distR="0">
                  <wp:extent cx="3314700" cy="17335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14700" cy="1733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10" w:line="216" w:lineRule="auto"/>
            </w:pPr>
            <w:r>
              <w:rPr>
                <w:rFonts w:ascii="Arial" w:cs="Arial" w:eastAsia="Arial" w:hAnsi="Arial"/>
                <w:color w:val="5F5F5F"/>
                <w:sz w:val="11"/>
                <w:szCs w:val="11"/>
              </w:rPr>
              <w:t xml:space="preserve">Control: the replica matches the WACC sheet of model v2 (0 bp difference in every period). Source: Damodaran; Bloomberg; Central Bank of Chile; Team analysis.</w:t>
            </w:r>
          </w:p>
        </w:tc>
        <w:tc>
          <w:tcPr>
            <w:tcW w:type="dxa" w:w="2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/>
        </w:tc>
        <w:tc>
          <w:tcPr>
            <w:tcW w:type="dxa" w:w="522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Bdr>
                <w:bottom w:val="single" w:color="E9004B" w:sz="8" w:space="1"/>
              </w:pBdr>
              <w:spacing w:after="50" w:before="140"/>
            </w:pPr>
            <w:r>
              <w:rPr>
                <w:rFonts w:ascii="Arial" w:cs="Arial" w:eastAsia="Arial" w:hAnsi="Arial"/>
                <w:b/>
                <w:bCs/>
                <w:color w:val="14284B"/>
                <w:sz w:val="16"/>
                <w:szCs w:val="16"/>
              </w:rPr>
              <w:t xml:space="preserve">E. CHOICE OF THE RISK-FREE RATE</w:t>
            </w:r>
          </w:p>
          <w:tbl>
            <w:tblPr>
              <w:tblW w:type="dxa" w:w="5225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3725"/>
              <w:gridCol w:w="1500"/>
            </w:tblGrid>
            <w:tr>
              <w:trPr>
                <w:tblHeader/>
              </w:trPr>
              <w:tc>
                <w:tcPr>
                  <w:tcW w:type="dxa" w:w="3725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4284B" w:color="auto" w:val="clear"/>
                  <w:tcMar>
                    <w:top w:type="dxa" w:w="35"/>
                    <w:left w:type="dxa" w:w="80"/>
                    <w:bottom w:type="dxa" w:w="35"/>
                    <w:right w:type="dxa" w:w="80"/>
                  </w:tcMar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3"/>
                      <w:szCs w:val="13"/>
                    </w:rPr>
                    <w:t xml:space="preserve">Alternative</w:t>
                  </w:r>
                </w:p>
              </w:tc>
              <w:tc>
                <w:tcPr>
                  <w:tcW w:type="dxa" w:w="15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4284B" w:color="auto" w:val="clear"/>
                  <w:tcMar>
                    <w:top w:type="dxa" w:w="35"/>
                    <w:left w:type="dxa" w:w="80"/>
                    <w:bottom w:type="dxa" w:w="35"/>
                    <w:right w:type="dxa" w:w="80"/>
                  </w:tcMar>
                </w:tcPr>
                <w:p>
                  <w:pPr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3"/>
                      <w:szCs w:val="13"/>
                    </w:rPr>
                    <w:t xml:space="preserve">Value</w:t>
                  </w:r>
                </w:p>
              </w:tc>
            </w:tr>
            <w:tr>
              <w:tc>
                <w:tcPr>
                  <w:tcW w:type="dxa" w:w="372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25"/>
                    <w:left w:type="dxa" w:w="80"/>
                    <w:bottom w:type="dxa" w:w="25"/>
                    <w:right w:type="dxa" w:w="80"/>
                  </w:tcMar>
                  <w:vAlign w:val="center"/>
                </w:tcPr>
                <w:p>
                  <w:pPr>
                    <w:spacing w:line="216" w:lineRule="auto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3"/>
                      <w:szCs w:val="13"/>
                    </w:rPr>
                    <w:t xml:space="preserve">Model base: US Rf + Chile CRP, in CLP</w:t>
                  </w:r>
                </w:p>
              </w:tc>
              <w:tc>
                <w:tcPr>
                  <w:tcW w:type="dxa" w:w="150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25"/>
                    <w:left w:type="dxa" w:w="80"/>
                    <w:bottom w:type="dxa" w:w="25"/>
                    <w:right w:type="dxa" w:w="80"/>
                  </w:tcMar>
                  <w:vAlign w:val="center"/>
                </w:tcPr>
                <w:p>
                  <w:pPr>
                    <w:spacing w:line="216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3"/>
                      <w:szCs w:val="13"/>
                    </w:rPr>
                    <w:t xml:space="preserve">6.80%</w:t>
                  </w:r>
                </w:p>
              </w:tc>
            </w:tr>
            <w:tr>
              <w:tc>
                <w:tcPr>
                  <w:tcW w:type="dxa" w:w="372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25"/>
                    <w:left w:type="dxa" w:w="80"/>
                    <w:bottom w:type="dxa" w:w="25"/>
                    <w:right w:type="dxa" w:w="80"/>
                  </w:tcMar>
                  <w:vAlign w:val="center"/>
                </w:tcPr>
                <w:p>
                  <w:pPr>
                    <w:spacing w:line="216" w:lineRule="auto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3"/>
                      <w:szCs w:val="13"/>
                    </w:rPr>
                    <w:t xml:space="preserve">10Y peso bond, Central Bank (30-Jun-26)</w:t>
                  </w:r>
                </w:p>
              </w:tc>
              <w:tc>
                <w:tcPr>
                  <w:tcW w:type="dxa" w:w="150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25"/>
                    <w:left w:type="dxa" w:w="80"/>
                    <w:bottom w:type="dxa" w:w="25"/>
                    <w:right w:type="dxa" w:w="80"/>
                  </w:tcMar>
                  <w:vAlign w:val="center"/>
                </w:tcPr>
                <w:p>
                  <w:pPr>
                    <w:spacing w:line="216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3"/>
                      <w:szCs w:val="13"/>
                    </w:rPr>
                    <w:t xml:space="preserve">5.43%</w:t>
                  </w:r>
                </w:p>
              </w:tc>
            </w:tr>
            <w:tr>
              <w:tc>
                <w:tcPr>
                  <w:tcW w:type="dxa" w:w="372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25"/>
                    <w:left w:type="dxa" w:w="80"/>
                    <w:bottom w:type="dxa" w:w="25"/>
                    <w:right w:type="dxa" w:w="80"/>
                  </w:tcMar>
                  <w:vAlign w:val="center"/>
                </w:tcPr>
                <w:p>
                  <w:pPr>
                    <w:spacing w:line="216" w:lineRule="auto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3"/>
                      <w:szCs w:val="13"/>
                    </w:rPr>
                    <w:t xml:space="preserve">Difference</w:t>
                  </w:r>
                </w:p>
              </w:tc>
              <w:tc>
                <w:tcPr>
                  <w:tcW w:type="dxa" w:w="150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25"/>
                    <w:left w:type="dxa" w:w="80"/>
                    <w:bottom w:type="dxa" w:w="25"/>
                    <w:right w:type="dxa" w:w="80"/>
                  </w:tcMar>
                  <w:vAlign w:val="center"/>
                </w:tcPr>
                <w:p>
                  <w:pPr>
                    <w:spacing w:line="216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3"/>
                      <w:szCs w:val="13"/>
                    </w:rPr>
                    <w:t xml:space="preserve">137 bp</w:t>
                  </w:r>
                </w:p>
              </w:tc>
            </w:tr>
            <w:tr>
              <w:tc>
                <w:tcPr>
                  <w:tcW w:type="dxa" w:w="372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25"/>
                    <w:left w:type="dxa" w:w="80"/>
                    <w:bottom w:type="dxa" w:w="25"/>
                    <w:right w:type="dxa" w:w="80"/>
                  </w:tcMar>
                  <w:vAlign w:val="center"/>
                </w:tcPr>
                <w:p>
                  <w:pPr>
                    <w:spacing w:line="216" w:lineRule="auto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3"/>
                      <w:szCs w:val="13"/>
                    </w:rPr>
                    <w:t xml:space="preserve">Effect on terminal WACC (difference × E/V)</w:t>
                  </w:r>
                </w:p>
              </w:tc>
              <w:tc>
                <w:tcPr>
                  <w:tcW w:type="dxa" w:w="150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25"/>
                    <w:left w:type="dxa" w:w="80"/>
                    <w:bottom w:type="dxa" w:w="25"/>
                    <w:right w:type="dxa" w:w="80"/>
                  </w:tcMar>
                  <w:vAlign w:val="center"/>
                </w:tcPr>
                <w:p>
                  <w:pPr>
                    <w:spacing w:line="216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3"/>
                      <w:szCs w:val="13"/>
                    </w:rPr>
                    <w:t xml:space="preserve">−107 bp</w:t>
                  </w:r>
                </w:p>
              </w:tc>
            </w:tr>
            <w:tr>
              <w:tc>
                <w:tcPr>
                  <w:tcW w:type="dxa" w:w="372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25"/>
                    <w:left w:type="dxa" w:w="80"/>
                    <w:bottom w:type="dxa" w:w="25"/>
                    <w:right w:type="dxa" w:w="80"/>
                  </w:tcMar>
                  <w:vAlign w:val="center"/>
                </w:tcPr>
                <w:p>
                  <w:pPr>
                    <w:spacing w:line="216" w:lineRule="auto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3"/>
                      <w:szCs w:val="13"/>
                    </w:rPr>
                    <w:t xml:space="preserve">DCF value using the peso bond (CLP)</w:t>
                  </w:r>
                </w:p>
              </w:tc>
              <w:tc>
                <w:tcPr>
                  <w:tcW w:type="dxa" w:w="150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25"/>
                    <w:left w:type="dxa" w:w="80"/>
                    <w:bottom w:type="dxa" w:w="25"/>
                    <w:right w:type="dxa" w:w="80"/>
                  </w:tcMar>
                  <w:vAlign w:val="center"/>
                </w:tcPr>
                <w:p>
                  <w:pPr>
                    <w:spacing w:line="216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3"/>
                      <w:szCs w:val="13"/>
                    </w:rPr>
                    <w:t xml:space="preserve">2,311</w:t>
                  </w:r>
                </w:p>
              </w:tc>
            </w:tr>
            <w:tr>
              <w:tc>
                <w:tcPr>
                  <w:tcW w:type="dxa" w:w="372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DF1CC" w:color="auto" w:val="clear"/>
                  <w:tcMar>
                    <w:top w:type="dxa" w:w="25"/>
                    <w:left w:type="dxa" w:w="80"/>
                    <w:bottom w:type="dxa" w:w="25"/>
                    <w:right w:type="dxa" w:w="80"/>
                  </w:tcMar>
                  <w:vAlign w:val="center"/>
                </w:tcPr>
                <w:p>
                  <w:pPr>
                    <w:spacing w:line="216" w:lineRule="auto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1A1A"/>
                      <w:sz w:val="13"/>
                      <w:szCs w:val="13"/>
                    </w:rPr>
                    <w:t xml:space="preserve">80/20 target price in that case (CLP)</w:t>
                  </w:r>
                </w:p>
              </w:tc>
              <w:tc>
                <w:tcPr>
                  <w:tcW w:type="dxa" w:w="150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DF1CC" w:color="auto" w:val="clear"/>
                  <w:tcMar>
                    <w:top w:type="dxa" w:w="25"/>
                    <w:left w:type="dxa" w:w="80"/>
                    <w:bottom w:type="dxa" w:w="25"/>
                    <w:right w:type="dxa" w:w="80"/>
                  </w:tcMar>
                  <w:vAlign w:val="center"/>
                </w:tcPr>
                <w:p>
                  <w:pPr>
                    <w:spacing w:line="216" w:lineRule="auto"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1A1A"/>
                      <w:sz w:val="13"/>
                      <w:szCs w:val="13"/>
                    </w:rPr>
                    <w:t xml:space="preserve">2,439</w:t>
                  </w:r>
                </w:p>
              </w:tc>
            </w:tr>
          </w:tbl>
          <w:p>
            <w:pPr>
              <w:spacing w:after="0" w:before="80" w:line="216" w:lineRule="auto"/>
              <w:jc w:val="both"/>
            </w:pPr>
            <w:r>
              <w:rPr>
                <w:rFonts w:ascii="Arial" w:cs="Arial" w:eastAsia="Arial" w:hAnsi="Arial"/>
                <w:color w:val="1A1A1A"/>
                <w:sz w:val="14"/>
                <w:szCs w:val="14"/>
              </w:rPr>
              <w:t xml:space="preserve">Why UST + CRP and not the peso bond: the local bond already embeds Chile risk, so adding the CRP would double-count it; also, 28% of revenue comes from Peru and Colombia, whose risk enters through the weighted CRP.</w:t>
            </w:r>
          </w:p>
          <w:p>
            <w:pPr>
              <w:spacing w:after="0" w:before="30" w:line="216" w:lineRule="auto"/>
              <w:jc w:val="both"/>
            </w:pPr>
            <w:r>
              <w:rPr>
                <w:rFonts w:ascii="Arial" w:cs="Arial" w:eastAsia="Arial" w:hAnsi="Arial"/>
                <w:color w:val="1A1A1A"/>
                <w:sz w:val="14"/>
                <w:szCs w:val="14"/>
              </w:rPr>
              <w:t xml:space="preserve">It is the more conservative choice: with the peso bond the target price rises to ~CLP 2,439, still 31% below the CLP 3,555 share price. The recommendation does not change.</w:t>
            </w:r>
          </w:p>
          <w:p>
            <w:pPr>
              <w:spacing w:after="0" w:before="30" w:line="216" w:lineRule="auto"/>
              <w:jc w:val="both"/>
            </w:pPr>
            <w:r>
              <w:rPr>
                <w:rFonts w:ascii="Arial" w:cs="Arial" w:eastAsia="Arial" w:hAnsi="Arial"/>
                <w:color w:val="5F5F5F"/>
                <w:sz w:val="11"/>
                <w:szCs w:val="11"/>
              </w:rPr>
              <w:t xml:space="preserve">Source: Central Bank of Chile, Informativo Diario 2-Jul-26; DCF v2 replica with the WACC shifted in every period.</w:t>
            </w:r>
          </w:p>
        </w:tc>
      </w:tr>
    </w:tbl>
    <w:sectPr>
      <w:headerReference w:type="default" r:id="rId9"/>
      <w:footerReference w:type="default" r:id="rId10"/>
      <w:pgSz w:w="11906" w:h="16838" w:orient="portrait"/>
      <w:pgMar w:top="1000" w:right="620" w:bottom="900" w:left="620" w:header="450" w:footer="400" w:gutter="0"/>
      <w:pgNumType w:start="1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F5F5F"/>
        <w:sz w:val="14"/>
        <w:szCs w:val="14"/>
      </w:rPr>
      <w:t xml:space="preserve">Page </w:t>
    </w:r>
    <w:r>
      <w:rPr>
        <w:rFonts w:ascii="Arial" w:cs="Arial" w:eastAsia="Arial" w:hAnsi="Arial"/>
        <w:color w:val="5F5F5F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F5F5F"/>
        <w:sz w:val="14"/>
        <w:szCs w:val="14"/>
      </w:rPr>
      <w:t xml:space="preserve">A-</w:t>
    </w:r>
    <w:r>
      <w:rPr>
        <w:rFonts w:ascii="Arial" w:cs="Arial" w:eastAsia="Arial" w:hAnsi="Arial"/>
        <w:color w:val="5F5F5F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5D9E0" w:sz="4" w:space="2"/>
      </w:pBdr>
      <w:jc w:val="right"/>
    </w:pPr>
    <w:r>
      <w:rPr>
        <w:rFonts w:ascii="Arial" w:cs="Arial" w:eastAsia="Arial" w:hAnsi="Arial"/>
        <w:color w:val="5F5F5F"/>
        <w:sz w:val="14"/>
        <w:szCs w:val="14"/>
      </w:rPr>
      <w:t xml:space="preserve">Mallplaza (Plaza S.A.)  |  CFA Institute Research Challenge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5D9E0" w:sz="4" w:space="2"/>
      </w:pBdr>
      <w:jc w:val="right"/>
    </w:pPr>
    <w:r>
      <w:rPr>
        <w:rFonts w:ascii="Arial" w:cs="Arial" w:eastAsia="Arial" w:hAnsi="Arial"/>
        <w:color w:val="5F5F5F"/>
        <w:sz w:val="14"/>
        <w:szCs w:val="14"/>
      </w:rPr>
      <w:t xml:space="preserve">Mallplaza (Plaza S.A.)  |  CFA Institute Research Challenge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6"/>
        <w:szCs w:val="16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image" Target="media/1de69c46d6d8340b2c892182e3f6f74af244267e.png"/><Relationship Id="rId12" Type="http://schemas.openxmlformats.org/officeDocument/2006/relationships/image" Target="media/7705807de7bb5ae65ea8f9405698e5accadf9f5f.png"/><Relationship Id="rId13" Type="http://schemas.openxmlformats.org/officeDocument/2006/relationships/image" Target="media/3f8811c3930ab52f0361e30aeba0a0477fff495d.png"/><Relationship Id="rId14" Type="http://schemas.openxmlformats.org/officeDocument/2006/relationships/image" Target="media/ac7d727936eff2c7c816433ffb33ff8d89e7d02c.png"/><Relationship Id="rId15" Type="http://schemas.openxmlformats.org/officeDocument/2006/relationships/image" Target="media/e78b17cbe4994957e6ba45239af4e36fc468c599.png"/><Relationship Id="rId16" Type="http://schemas.openxmlformats.org/officeDocument/2006/relationships/image" Target="media/eb51e0d291817a3d17c0d21bcf3419fbdc2ff4ba.png"/><Relationship Id="rId17" Type="http://schemas.openxmlformats.org/officeDocument/2006/relationships/image" Target="media/fc24481a50aecaf97af890d023f9924ac8672d6f.png"/><Relationship Id="rId1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2026-10-12T00:01:11.770Z</dcterms:created>
  <dcterms:modified xsi:type="dcterms:W3CDTF">2026-10-12T00:01:11.770Z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