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 w:before="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 [B]: FLUJO DE CAJA DESCONTADO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5"/>
          <w:szCs w:val="15"/>
        </w:rPr>
        <w:t xml:space="preserve">FCFF en CLP nominales desde el 30-jun-26, con convención de mitad de período y la WACC de cada período (Anexo [Z]). El valor terminal usa el FCFF 2032E con g de 3,0% nominal (0% real, sin reinversión porque el RONIC queda bajo la WACC real) y la WACC terminal de 10,41%, e incluye 108.301 m² de GLA que maduran después de 2031. Explica el 76% del EV.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FLUJO DE CAJA LIBRE DE LA FIRMA POR PERÍODO (CLP MM)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66"/>
        <w:gridCol w:w="1100"/>
        <w:gridCol w:w="1100"/>
        <w:gridCol w:w="1100"/>
        <w:gridCol w:w="1100"/>
        <w:gridCol w:w="1100"/>
        <w:gridCol w:w="1100"/>
        <w:gridCol w:w="1200"/>
      </w:tblGrid>
      <w:tr>
        <w:trPr>
          <w:tblHeader/>
        </w:trPr>
        <w:tc>
          <w:tcPr>
            <w:tcW w:type="dxa" w:w="2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2S26E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Terminal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Ingresos totales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364.469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767.179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820.507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870.098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915.888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961.340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1.007.657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EBITDA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290.741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611.360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654.236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694.005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730.578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766.858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804.002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Margen EBITDA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79,8%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 de impuesto en caja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16,8%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19,0%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21,5%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24,0%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NOPAT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239.763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490.829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509.043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522.791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528.617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554.868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581.746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(+) D&amp;A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2.565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5.398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5.773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6.122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6.445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6.764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7.090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Capex base (pipeline + mantención)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−124.994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−240.660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−151.495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−47.682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−49.731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−51.674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−55.421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Capex de expansión / reinversión terminal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−46.268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−95.313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−98.172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−101.117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−104.151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Inversión en capital de trabajo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−3.908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−9.859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−8.321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−7.738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−7.145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−7.093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−4.580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FCFF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113.426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199.440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259.688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375.321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377.068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398.716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528.835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WACC nominal del período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10,54%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10,51%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10,48%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10,46%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10,44%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10,41%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10,41%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Factor de descuento (mitad del período)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0,9753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0,9048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0,8188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0,7412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0,6711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0,6078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VP del FCFF / del valor terminal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110.620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180.452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212.644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278.200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253.058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242.325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4.125.700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DEL VALOR DE EMPRESA AL VALOR POR ACCIÓN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025"/>
              <w:gridCol w:w="1200"/>
              <w:gridCol w:w="1000"/>
            </w:tblGrid>
            <w:tr>
              <w:trPr>
                <w:tblHeader/>
              </w:trP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Concepto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CLP MM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CLP/acción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VP del FCFF explícito (2S26E–2031E)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1.277.299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583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VP del valor terminal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4.125.700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1.884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Valor de empresa (EV)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5.402.999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2.467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(−) Deuda financiera neta 30-jun-26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−1.285.740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−587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(−) Minoritarios (libro)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−50.841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−23</w:t>
                  </w:r>
                </w:p>
              </w:tc>
            </w:tr>
            <w:tr>
              <w:tc>
                <w:tcPr>
                  <w:tcW w:type="dxa" w:w="3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Valor del patrimonio / por acción</w:t>
                  </w:r>
                </w:p>
              </w:tc>
              <w:tc>
                <w:tcPr>
                  <w:tcW w:type="dxa" w:w="12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4.066.418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1.857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SENSIBILIDAD DEL VALOR DCF (CLP/ACCIÓN)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225"/>
              <w:gridCol w:w="1000"/>
              <w:gridCol w:w="1000"/>
              <w:gridCol w:w="1000"/>
              <w:gridCol w:w="1000"/>
            </w:tblGrid>
            <w:tr>
              <w:trPr>
                <w:tblHeader/>
              </w:trP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Δ WACC \ g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2,5%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3,0%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3,5%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g 4,0%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−100 pb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2.329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2.278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2.216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2.139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−50 pb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2.109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2.052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1.983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1.900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0 pb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1.918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1.857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1.785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1.699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+50 pb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1.750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1.687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1.614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1.528</w:t>
                  </w:r>
                </w:p>
              </w:tc>
            </w:tr>
            <w:tr>
              <w:tc>
                <w:tcPr>
                  <w:tcW w:type="dxa" w:w="12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+100 pb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1.601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1.538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1.464</w:t>
                  </w:r>
                </w:p>
              </w:tc>
              <w:tc>
                <w:tcPr>
                  <w:tcW w:type="dxa" w:w="10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1.379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Valor terminal al 31-dic-31: CLP 7.133.037 MM (cap rate implícito 10,1%; EV/EBITDA UDM implícito 9,9x). 2S26E: medio año. Fuente: modelo v2, hojas DCF y Sensibilidad; 2.190 MM de acciones.</w:t>
      </w:r>
    </w:p>
    <w:p>
      <w:pPr>
        <w:pBdr>
          <w:bottom w:val="single" w:color="14284B" w:sz="18" w:space="2"/>
        </w:pBdr>
        <w:spacing w:after="80" w:before="26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 [C]: SUPUESTOS DE LA PROYECCIÓN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5"/>
          <w:szCs w:val="15"/>
        </w:rPr>
        <w:t xml:space="preserve">El forecast base sigue el motor operativo del equipo (pipeline anunciado hasta 2028); desde 2029 se suma una expansión continua al ritmo histórico de apertura. Los ingresos 2026E son año calendario; el período 2S26E descuenta el 1S26 real (CLP 339.530 MM de ingresos).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PROYECCIÓN DE INGRESOS, CAPEX Y CAPITAL DE TRABAJO (CLP MM)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466"/>
        <w:gridCol w:w="1200"/>
        <w:gridCol w:w="1200"/>
        <w:gridCol w:w="1200"/>
        <w:gridCol w:w="1200"/>
        <w:gridCol w:w="1200"/>
        <w:gridCol w:w="1200"/>
      </w:tblGrid>
      <w:tr>
        <w:trPr>
          <w:tblHeader/>
        </w:trPr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2S26E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Ingresos base (año calendario)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703.999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767.179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820.507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866.952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904.203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939.524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Crecimiento de ingresos totales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5,0%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Ingresos de la expansión continua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3.146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11.685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21.815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Margen EBITDA base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79,7%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 de impuesto en caja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16,8%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19,0%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21,5%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24,0%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27,0%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Capex de proyectos en curso (USD MM)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113,6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215,1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116,3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0,0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USDCLP promedio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930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915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921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Capex de proyectos en curso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105.634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198.465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106.367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Capex de mantención + TI (5,5% de ingresos)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19.360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42.195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45.128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47.682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49.731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51.674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Capex base total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124.994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240.660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151.495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47.682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49.731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51.674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Capex de expansión continua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46.268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95.313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98.172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101.117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104.151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Costo por m² de expansión (CLP MM, IPC)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3,32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3,42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3,52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3,85</w:t>
            </w:r>
          </w:p>
        </w:tc>
      </w:tr>
      <w:tr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Inversión en capital de trabajo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3.908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9.859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8.321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7.738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7.145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7.093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EXPANSIÓN CONTINUA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925"/>
              <w:gridCol w:w="2300"/>
            </w:tblGrid>
            <w:tr>
              <w:trPr>
                <w:tblHeader/>
              </w:trP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Supuesto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Valor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GLA nuevo por año desde 2029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27.075 m²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Base: promedio orgánico 2022, 2023 y 2025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30.458 / 38.618 / 12.150 m²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Pipeline en curso (Release 2Q26)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USD 613,2 MM / 170.200 m²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Costo por m² (= pipeline)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USD 3.603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Desembolso del capex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50% en t−2 / 50% en t−1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Rampa de ingresos (año 1 / 2 / 3+)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35% / 90% / 100%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Mix Chile / Perú; margen EBITDA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54,9% / 45,1%; 80% / 82%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Yield on cost / RONIC real después de impuestos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6,9% / 5,0%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OPERACIÓN, CAPITAL Y VALOR TERMINAL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925"/>
              <w:gridCol w:w="2300"/>
            </w:tblGrid>
            <w:tr>
              <w:trPr>
                <w:tblHeader/>
              </w:trP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Supuesto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Valor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Margen EBITDA UDM 2T26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80,5%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Capex de mantención + TI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5,5% de los ingresos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D&amp;A / ingresos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0,70%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Impuesto en caja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16,8% → 27% (2030)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Capital de trabajo neto / ingresos (dic-25)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15,6%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Deudores / arriendos anticipados (dic-25, CLP MM)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122.370 / 20.247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g terminal nominal (real)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3,0% (0,0%)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DFN/EBITDA objetivo; Kd real por vuelta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3,5x en 2031; +25 pb</w:t>
                  </w:r>
                </w:p>
              </w:tc>
            </w:tr>
            <w:tr>
              <w:tc>
                <w:tcPr>
                  <w:tcW w:type="dxa" w:w="2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Payout sobre utilidad distribuible</w:t>
                  </w:r>
                </w:p>
              </w:tc>
              <w:tc>
                <w:tcPr>
                  <w:tcW w:type="dxa" w:w="2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40%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Fuente: modelo v2, hojas Forecast_Base, Expansion, Capital_Trabajo y Supuestos (Release 2Q26; EEFF dic-25; Exhibits v6).</w:t>
      </w:r>
    </w:p>
    <w:p>
      <w:pPr>
        <w:pageBreakBefore/>
        <w:pBdr>
          <w:bottom w:val="single" w:color="14284B" w:sz="18" w:space="2"/>
        </w:pBdr>
        <w:spacing w:after="80" w:before="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 [E]: MÚLTIPLOS COMPARABLES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5"/>
          <w:szCs w:val="15"/>
        </w:rPr>
        <w:t xml:space="preserve">Usamos el mismo set de pares que la beta de la WACC. EV/EBITDA UDM es el método principal (neutral al apalancamiento y a la revalorización NIC 40); el múltiplo pondera 70% la mediana chilena y 30% la del set común. P/E y P/BV mezclan pares a valor razonable y a costo: solo referencia. Precio al 30-sep-26; deuda neta Bloomberg y tipo de cambio al 30-jun-26.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PARES (CLP MM; MÚLTIPLOS EN VECES)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066"/>
        <w:gridCol w:w="900"/>
        <w:gridCol w:w="1150"/>
        <w:gridCol w:w="1150"/>
        <w:gridCol w:w="1100"/>
        <w:gridCol w:w="900"/>
        <w:gridCol w:w="900"/>
        <w:gridCol w:w="850"/>
        <w:gridCol w:w="800"/>
        <w:gridCol w:w="850"/>
      </w:tblGrid>
      <w:tr>
        <w:trPr>
          <w:tblHeader/>
        </w:trPr>
        <w:tc>
          <w:tcPr>
            <w:tcW w:type="dxa" w:w="20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Empresa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País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Market cap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EBITDA UDM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EV/EBITDA UDM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EV/EBITDA NTM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EV/EBIT UDM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P/E UDM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P/BV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Mallplaza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7.785.450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9.147.860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544.935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16,8x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14,8x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16,9x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6,2x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1,6x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Parque Arauco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3.440.408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5.429.487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294.411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18,4x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15,8x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18,8x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22,3x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1,8x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Cencosud Shopping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3.710.183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4.569.181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350.561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13,0x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13,1x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10,5x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Multiplan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Brasil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2.907.890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3.796.907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421.296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9,0x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10,1x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9,6x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2,4x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Allos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Brasil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2.656.188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3.895.017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388.839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10,0x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9,4x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14,1x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15,9x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Iguatemi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Brasil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1.381.190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1.763.277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201.423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8,8x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7,4x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9,9x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12,1x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1,6x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IRSA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Argentina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1.140.416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1.789.191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145.686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12,3x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6,2x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13,2x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0,8x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Fibra Danhos (excluida)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México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2.383.999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3.157.944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277.625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11,4x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10,1x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11,4x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7,9x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0,7x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Mediana set común (6)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11,1x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9,7x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13,1x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11,9x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1,4x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Mediana Chile (2)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15,7x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13,8x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15,9x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16,4x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1,5x</w:t>
            </w:r>
          </w:p>
        </w:tc>
      </w:tr>
      <w:tr>
        <w:tc>
          <w:tcPr>
            <w:tcW w:type="dxa" w:w="20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Ponderado 70/30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 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14,4x</w:t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12,5x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15,1x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15,0x</w:t>
            </w:r>
          </w:p>
        </w:tc>
        <w:tc>
          <w:tcPr>
            <w:tcW w:type="dxa" w:w="8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1,4x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VALOR POR MÚLTIPLO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925"/>
              <w:gridCol w:w="900"/>
              <w:gridCol w:w="1300"/>
              <w:gridCol w:w="1100"/>
            </w:tblGrid>
            <w:tr>
              <w:trPr>
                <w:tblHeader/>
              </w:trP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Múltiplo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Ponderado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Métrica CLP MM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CLP/acción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EV/EBITDA UDM (principal)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14,4x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544.935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2.951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EV/EBITDA NTM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12,5x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617.130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2.914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EV/EBIT UDM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15,1x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540.373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3.098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P/E UDM (ref.)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15,0x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1.258.053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8.644</w:t>
                  </w:r>
                </w:p>
              </w:tc>
            </w:tr>
            <w:tr>
              <w:tc>
                <w:tcPr>
                  <w:tcW w:type="dxa" w:w="19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P/BV (ref.)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1,4x</w:t>
                  </w:r>
                </w:p>
              </w:tc>
              <w:tc>
                <w:tcPr>
                  <w:tcW w:type="dxa" w:w="13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4.820.898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3.171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SENSIBILIDAD A LA PONDERACIÓN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025"/>
              <w:gridCol w:w="900"/>
              <w:gridCol w:w="1100"/>
              <w:gridCol w:w="1100"/>
              <w:gridCol w:w="1100"/>
            </w:tblGrid>
            <w:tr>
              <w:trPr>
                <w:tblHeader/>
              </w:trP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Peso Chile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Múltiplo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Valor múlt.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Precio obj.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Δ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100%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15,7x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3.294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2.144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+3,3%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70%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14,4x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2.951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2.076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0,0%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13,4x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2.723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2.030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−2,2%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12,5x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2.495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1.984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−4,4%</w:t>
                  </w:r>
                </w:p>
              </w:tc>
            </w:tr>
            <w:tr>
              <w:tc>
                <w:tcPr>
                  <w:tcW w:type="dxa" w:w="10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0%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11,1x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2.152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1.916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−7,7%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Puente: 14,36x × EBITDA UDM CLP 544.935 MM = EV 7.825.944 − deuda neta Bloomberg 1.311.569 − minoritarios 50.841 = CLP 2.951 por acción (2.190 MM de acciones). Fibra Danhos queda fuera por su régimen FIBRA y por no tener beta en la WACC; IRSA reporta bajo NIC 29. Fuente: Bloomberg; modelo v2, hojas Comparables y Precio_Objetivo; Figuras_Valuacion, V7.</w:t>
      </w:r>
    </w:p>
    <w:p>
      <w:pPr>
        <w:pBdr>
          <w:bottom w:val="single" w:color="14284B" w:sz="18" w:space="2"/>
        </w:pBdr>
        <w:spacing w:after="80" w:before="26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 [F]: ESCENARIOS Y ROBUSTEZ</w:t>
      </w:r>
    </w:p>
    <w:p>
      <w:pPr>
        <w:shd w:fill="EEF1F6" w:color="auto" w:val="clear"/>
        <w:spacing w:after="40" w:line="216" w:lineRule="auto"/>
        <w:jc w:val="both"/>
      </w:pPr>
      <w:r>
        <w:rPr>
          <w:rFonts w:ascii="Arial" w:cs="Arial" w:eastAsia="Arial" w:hAnsi="Arial"/>
          <w:color w:val="1A1A1A"/>
          <w:sz w:val="15"/>
          <w:szCs w:val="15"/>
        </w:rPr>
        <w:t xml:space="preserve">Ningún escenario ni método alternativo alcanza el precio de CLP 3.555. Los escenarios se calculan con la réplica del DCF v2 (reproduce exactamente el valor base) y el precio objetivo mantiene el 80% DCF y el valor por múltiplos de CLP 2.951.</w:t>
      </w:r>
    </w:p>
    <w:p>
      <w:pPr>
        <w:pBdr>
          <w:bottom w:val="single" w:color="E9004B" w:sz="8" w:space="1"/>
        </w:pBdr>
        <w:spacing w:after="50" w:before="8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ESCENARIOS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250"/>
        <w:gridCol w:w="5616"/>
        <w:gridCol w:w="1200"/>
        <w:gridCol w:w="1400"/>
        <w:gridCol w:w="1200"/>
      </w:tblGrid>
      <w:tr>
        <w:trPr>
          <w:tblHeader/>
        </w:trPr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Escenario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Supuestos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DCF (CLP)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Precio objetivo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vs precio</w:t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Bear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WACC +100 pb en todos los períodos; margen EBITDA 75,8% (mínimo histórico) en vez de 79,7%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1.403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1.713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−51,8%</w:t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Base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Modelo v2: WACC 10,54% → 10,41%; g 3,0%; margen 79,7%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1.857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2.076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−41,6%</w:t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Bull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WACC −100 pb; g 2,5%; margen 81,3% (máximo histórico); impuesto en caja con techo de 23%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2.546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2.627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−26,1%</w:t>
            </w:r>
          </w:p>
        </w:tc>
      </w:tr>
      <w:tr>
        <w:tc>
          <w:tcPr>
            <w:tcW w:type="dxa" w:w="125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Tasadores</w:t>
            </w:r>
          </w:p>
        </w:tc>
        <w:tc>
          <w:tcPr>
            <w:tcW w:type="dxa" w:w="561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WACC nominal 8,72% (5,55% real, Nota 11) en todos los períodos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2.660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2.718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−23,5%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B. MÉTODOS Y SUPUESTOS ALTERNATIVOS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625"/>
              <w:gridCol w:w="850"/>
              <w:gridCol w:w="900"/>
              <w:gridCol w:w="850"/>
            </w:tblGrid>
            <w:tr>
              <w:trPr>
                <w:tblHeader/>
              </w:trP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Prueba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DCF (CLP)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Precio obj.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vs precio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APV (Ku 11,11%): valor sin deuda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1.632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(+) escudos fiscales de la deuda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261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= APV por acción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1.894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2.105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−40,8%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Rf bono en pesos 5,43% (WACC −107 pb)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2.311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2.439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−31,4%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DCF VF: WACC constante 10,37%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1.880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2.095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−41,1%</w:t>
                  </w:r>
                </w:p>
              </w:tc>
            </w:tr>
            <w:tr>
              <w:tc>
                <w:tcPr>
                  <w:tcW w:type="dxa" w:w="26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WACC implícita en el precio: 7,56%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3.555</w:t>
                  </w:r>
                </w:p>
              </w:tc>
              <w:tc>
                <w:tcPr>
                  <w:tcW w:type="dxa" w:w="9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  <w:tc>
                <w:tcPr>
                  <w:tcW w:type="dxa" w:w="8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 </w:t>
                  </w:r>
                </w:p>
              </w:tc>
            </w:tr>
          </w:tbl>
          <w:p/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0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C. OBJETIVO DE DEUDA VS SPREAD (DCF, CLP)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25"/>
              <w:gridCol w:w="1100"/>
              <w:gridCol w:w="1150"/>
              <w:gridCol w:w="1150"/>
            </w:tblGrid>
            <w:tr>
              <w:trPr>
                <w:tblHeader/>
              </w:trP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DFN/EBITDA \ spread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0 pb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25 pb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50 pb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2,36x (actual)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1.819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1.819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1.819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3,0x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1.849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1.841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1.834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3,5x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1.872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1.857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1.842</w:t>
                  </w:r>
                </w:p>
              </w:tc>
            </w:tr>
            <w:tr>
              <w:tc>
                <w:tcPr>
                  <w:tcW w:type="dxa" w:w="18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4,0x</w:t>
                  </w:r>
                </w:p>
              </w:tc>
              <w:tc>
                <w:tcPr>
                  <w:tcW w:type="dxa" w:w="11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1.894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1.870</w:t>
                  </w:r>
                </w:p>
              </w:tc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1.847</w:t>
                  </w:r>
                </w:p>
              </w:tc>
            </w:tr>
          </w:tbl>
          <w:p/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Bear y bull: margen EBITDA del mínimo/máximo histórico (Earnings Releases 4Q23 y 3Q25) en todos los años; el bull no recalcula el escudo fiscal de la WACC. Fuente: réplica del DCF v2 (riesgos/graficos/tornado_operacional.py); modelo v2, hojas APV, Sensibilidad (tabla 2, estática) y DCF; Figuras_Valuacion, WACC_Construccion y V6.</w:t>
      </w:r>
    </w:p>
    <w:p>
      <w:pPr>
        <w:pageBreakBefore/>
        <w:pBdr>
          <w:bottom w:val="single" w:color="14284B" w:sz="18" w:space="2"/>
        </w:pBdr>
        <w:spacing w:after="80" w:before="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 [Z]: CONSTRUCCIÓN DE LA WACC</w:t>
      </w:r>
    </w:p>
    <w:p>
      <w:pPr>
        <w:shd w:fill="EEF1F6" w:color="auto" w:val="clear"/>
        <w:spacing w:after="6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La WACC se calcula por período: el D/E converge linealmente desde la estructura actual (20,0%) hasta la objetivo (28,5%, DFN/EBITDA 3,5x) en 2031. El Ke se construye en dólares (Rf del Tesoro de EE.UU. + beta re-apalancada × ERP + CRP ponderado por ingresos) y se convierte a pesos con el diferencial de inflación.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βL = βU × [1 + (1 − t) × D/E]  (Hamada)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USD = Rf + βL × ERP + CRP ponderado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CLP = (1 + Ke USD) × (1 + π Chile) / (1 + π EE.UU.)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Kd CLP = (1 + Kd real + spread) × (1 + π Chile)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WACC = E/V × Ke CLP + D/V × Kd CLP × (1 − t)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SUPUESTOS DE MERCADO Y ESTRUCTURA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00"/>
        <w:gridCol w:w="2400"/>
        <w:gridCol w:w="3466"/>
      </w:tblGrid>
      <w:tr>
        <w:trPr>
          <w:tblHeader/>
        </w:trP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Supuesto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Valor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Fuente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Rf: bono del Tesoro EE.UU. 10 años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4,98%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Prima por riesgo de mercado (ERP)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4,14%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Damodaran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Inflación de largo plazo Chile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Meta BCCh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Inflación de largo plazo EE.UU. (breakeven 10Y)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2,24%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Bloomberg, jun-26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 de impuesto Chile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Ley de la Renta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real: cupón última emisión en UF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Mallplaza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Aumento del Kd real por vuelta de DFN/EBITDA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0,25%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Supuesto del equipo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DFN/EBITDA inicial (30-06-26) → objetivo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2,36x → 3,5x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Release 2Q26; supuesto del equipo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Deuda bruta / market cap (estructura actual, MM CLP)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1.579 / 7.906 (miles)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B. BETA: PARES DESAPALANCADOS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766"/>
        <w:gridCol w:w="1400"/>
        <w:gridCol w:w="1900"/>
        <w:gridCol w:w="2100"/>
        <w:gridCol w:w="1100"/>
        <w:gridCol w:w="1400"/>
      </w:tblGrid>
      <w:tr>
        <w:trPr>
          <w:tblHeader/>
        </w:trPr>
        <w:tc>
          <w:tcPr>
            <w:tcW w:type="dxa" w:w="27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Empresa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β apalancada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Deuda (MM CLP)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Market cap (MM CLP)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Impuesto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β desapalancada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Parque Arauco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1,250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1.700.507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3.828.031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Cencosud Shopping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1,075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762.154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3.942.858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0,942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Allos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1,164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960.191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2.712.166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Iguatemi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0,908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647.397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1.421.560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0,698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IRSA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0,427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625.047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1.218.777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35%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0,320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Multiplan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1,219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191.478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2.959.845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1,169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Mediana (6 pares incluidos)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0,9428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Fuente: Bloomberg (betas), Tasa_WACC. Costa Verde se excluye porque no está en el set de comparables.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C. RIESGO PAÍS PONDERADO POR INGRESOS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66"/>
        <w:gridCol w:w="2700"/>
        <w:gridCol w:w="2400"/>
        <w:gridCol w:w="2400"/>
      </w:tblGrid>
      <w:tr>
        <w:trPr>
          <w:tblHeader/>
        </w:trPr>
        <w:tc>
          <w:tcPr>
            <w:tcW w:type="dxa" w:w="3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País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Ponderación (ingresos LTM)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CRP (Damodaran)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Aporte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71,8%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1,04%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0,75%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Perú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17,7%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1,55%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0,27%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Colombia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0,39%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CRP ponderado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100,0%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1,41%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D. WACC POR PERÍODO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66"/>
        <w:gridCol w:w="1100"/>
        <w:gridCol w:w="1100"/>
        <w:gridCol w:w="1100"/>
        <w:gridCol w:w="1100"/>
        <w:gridCol w:w="1100"/>
        <w:gridCol w:w="1100"/>
        <w:gridCol w:w="1200"/>
      </w:tblGrid>
      <w:tr>
        <w:trPr>
          <w:tblHeader/>
        </w:trPr>
        <w:tc>
          <w:tcPr>
            <w:tcW w:type="dxa" w:w="2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2S26E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Terminal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DFN/EBITDA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2,46x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2,67x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2,88x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3,09x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3,29x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3,50x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3,50x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20,8%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23,9%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25,4%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28,5%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28,5%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D/V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17,2%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18,2%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19,3%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20,3%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21,2%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22,2%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22,2%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Beta re-apalancada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1,086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1,096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1,118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1,128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1,139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1,139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Ke USD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10,93%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10,97%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11,02%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11,06%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11,10%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11,10%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Ke nominal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11,93%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11,93%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real (UF) con spread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3,89%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3,89%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nominal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6,89%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6,95%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7,00%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7,00%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después de impuestos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5,03%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5,07%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5,11%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5,11%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WACC nominal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10,54%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10,51%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WACC real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7,32%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7,20%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4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Z1: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WACC nominal y D/E por período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3314700" cy="1733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4700" cy="1733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Control: la réplica coincide con la hoja WACC del modelo v2 (diferencia 0 pb en todos los períodos). Fuente: Damodaran; Bloomberg; BCCh; análisis del equipo.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4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E. ELECCIÓN DE LA TASA LIBRE DE RIESGO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725"/>
              <w:gridCol w:w="1500"/>
            </w:tblGrid>
            <w:tr>
              <w:trPr>
                <w:tblHeader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Alternativa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Valor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Base del modelo: Rf EE.UU. + CRP Chile, en CLP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6,80%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Bono en pesos 10 años BCCh (30-06-26)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5,43%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Diferencia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137 pb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Efecto en la WACC terminal (diferencia × E/V)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−107 pb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Valor DCF con el bono en pesos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2.311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Precio objetivo 80/20 en ese caso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2.439</w:t>
                  </w:r>
                </w:p>
              </w:tc>
            </w:tr>
          </w:tbl>
          <w:p>
            <w:pPr>
              <w:spacing w:after="0" w:before="8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Por qué UST + CRP y no el bono en pesos: el bono local ya incluye el riesgo Chile, y sumarle el CRP lo contaría dos veces; además, un 28% de los ingresos viene de Perú y Colombia, cuyo riesgo se agrega con el CRP ponderado.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Es la elección más conservadora: con el bono en pesos el precio objetivo sube a ~CLP 2.439, todavía 31% bajo el precio de CLP 3.555. La recomendación no cambia.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Fuente: BCCh, Informativo Diario 2-jul-26; réplica del DCF v2 con la WACC desplazada en todos los períodos.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37f9670dd9b87d723848d2dd6de478ef16272e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2026-10-17T16:10:18.971Z</dcterms:created>
  <dcterms:modified xsi:type="dcterms:W3CDTF">2026-10-17T16:10:18.971Z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