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[Y]: CORPORATE GOVERNANCE AND SUSTAINABILITY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Supporting information for the ESG section: ownership structure, Board of Directors, compliance, stakeholder engagement model, organisational culture and waste. Main source: Mallplaza Annual Report 2025.</w:t>
      </w:r>
    </w:p>
    <w:p>
      <w:pPr>
        <w:pBdr>
          <w:bottom w:val="single" w:color="E9004B" w:sz="8" w:space="1"/>
        </w:pBdr>
        <w:spacing w:after="50" w:before="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1. OWNERSHIP STRUCTURE (31-DEC-2025)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Shareholding by type of shareholder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 (NCG 461 2.3.3). No ADRs or certificates issued abroad.</w:t>
      </w:r>
    </w:p>
    <w:p>
      <w:pPr>
        <w:spacing w:before="8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66"/>
        <w:gridCol w:w="2200"/>
        <w:gridCol w:w="2200"/>
      </w:tblGrid>
      <w:tr>
        <w:trPr>
          <w:tblHeader/>
        </w:trPr>
        <w:tc>
          <w:tcPr>
            <w:tcW w:type="dxa" w:w="6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 largest shareholders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Shares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% of shares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Desarrollos Inmobiliarios SpA (Falabella)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1,161,849,244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53.10%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Inversiones Avenida Borgoño Limitada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197,439,955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9.02%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Banchile Corredores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59,447,149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2.71%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BCI Corredor de Bolsa S.A.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53,553,765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2.45%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50,733,976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2.32%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Santiago Stock Exchange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41,532,310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1.90%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Provida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37,746,440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1.72%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Banco Santander on behalf of foreign investors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35,594,345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1.63%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Capital S.A. Pension Fund C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34,539,038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1.58%</w:t>
            </w:r>
          </w:p>
        </w:tc>
      </w:tr>
      <w:tr>
        <w:tc>
          <w:tcPr>
            <w:tcW w:type="dxa" w:w="6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AFP Habitat S.A. Pension Fund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30,039,097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1.37%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2. BOARD OF DIRECTORS (ELECTED 22-APR-2025)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S2: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Board members (red: independent director; blue: chairman)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9 full members, no alternates; one independent director. Each director holds at most four positions in other listed companies. Tomás Müller, Manuela Sánchez and Juan Pablo Montero were directors until 22-Apr-2025.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3. ETHICS AND COMPLIANCE,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666"/>
        <w:gridCol w:w="2000"/>
      </w:tblGrid>
      <w:tr>
        <w:trPr>
          <w:tblHeader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Matter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Cases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Corruption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customer rights (Consumer Protection Law 19,496)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Breaches of employee rights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Proceedings by the Environment Superintendency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Complaints of workplace, sexual harassment and violence at work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4. STAKEHOLDER ENGAGEMENT MODEL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S3: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Implementation process of the engagement model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5. ORGANISATIONAL CULTURE: 2025 CULTURE SURVEY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6"/>
        <w:gridCol w:w="120"/>
        <w:gridCol w:w="2576"/>
        <w:gridCol w:w="120"/>
        <w:gridCol w:w="2576"/>
        <w:gridCol w:w="120"/>
        <w:gridCol w:w="2578"/>
      </w:tblGrid>
      <w:tr>
        <w:tc>
          <w:tcPr>
            <w:tcW w:type="dxa" w:w="2576"/>
            <w:tcBorders>
              <w:top w:val="single" w:color="E900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E9004B"/>
                <w:sz w:val="30"/>
                <w:szCs w:val="30"/>
              </w:rPr>
              <w:t xml:space="preserve">75%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Engagement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−2 pp vs 2024 · 2025 target: 80%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37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eNPS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−10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6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88%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Leadership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+2 pp vs 2024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578"/>
            <w:tcBorders>
              <w:top w:val="single" w:color="14284B" w:sz="18"/>
              <w:left w:val="none" w:color="FFFFFF" w:sz="0"/>
              <w:bottom w:val="none" w:color="FFFFFF" w:sz="0"/>
              <w:right w:val="none" w:color="FFFFFF" w:sz="0"/>
            </w:tcBorders>
            <w:shd w:fill="EEF1F6" w:color="auto" w:val="clear"/>
            <w:tcMar>
              <w:top w:type="dxa" w:w="70"/>
              <w:left w:type="dxa" w:w="120"/>
              <w:bottom w:type="dxa" w:w="70"/>
              <w:right w:type="dxa" w:w="90"/>
            </w:tcMar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30"/>
                <w:szCs w:val="30"/>
              </w:rPr>
              <w:t xml:space="preserve">93%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Participation</w:t>
            </w:r>
          </w:p>
          <w:p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+3 pp vs 2024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Leadership (88%) is the main asset to leverage the strategy. Source: Mallplaza Annual Report 2025.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6. WASTE, 2025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S4: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Waste generation by country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3239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Annual Report 2025.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before="200"/>
            </w:pP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32,424.86 tonnes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of waste across the region: 76% in Chile, 16% in Colombia and 7% in Peru.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46.2% recovered: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14,987.57 t of non-hazardous waste went to energy recovery through biogas (40.4%), recycling (36.1%) and composting (23.5%); the rest went to disposal, mainly sanitary landfills.</w:t>
            </w:r>
          </w:p>
          <w:p>
            <w:pPr>
              <w:spacing w:after="80" w:before="0" w:line="228" w:lineRule="auto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Hazardous waste:</w:t>
            </w: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 9.03 t, a marginal amount given the nature of the business.</w:t>
            </w:r>
          </w:p>
        </w:tc>
      </w:tr>
    </w:tbl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7. ESG RISK MATRIX</w:t>
      </w:r>
    </w:p>
    <w:p>
      <w:pPr>
        <w:spacing w:after="30" w:before="2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Figure S5: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ESG factor matrix and its effect on the investment case</w:t>
      </w:r>
    </w:p>
    <w:p>
      <w:pPr>
        <w:spacing w:after="20" w:before="0" w:line="240" w:lineRule="auto"/>
      </w:pPr>
      <w:r>
        <w:drawing>
          <wp:inline distT="0" distB="0" distL="0" distR="0">
            <wp:extent cx="6772275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Materiality, time horizon, ability to absorb losses and net effect are team assessments. Framework adapted from S&amp;P Global Ratings' approach to ESG credit factors. Source: Mallplaza Annual Report 2025, Bloomberg, MSCI, Sustainalytics, S&amp;P Global; Team analysis.</w:t>
      </w:r>
    </w:p>
    <w:p>
      <w:pPr>
        <w:pBdr>
          <w:bottom w:val="single" w:color="E9004B" w:sz="8" w:space="1"/>
        </w:pBdr>
        <w:spacing w:after="50" w:before="16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8. EXECUTIVE TEAM TRACK RECORD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2300"/>
        <w:gridCol w:w="1000"/>
        <w:gridCol w:w="2000"/>
        <w:gridCol w:w="3466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Name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Role at PLAZA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Tenure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Previous experience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Profile and responsibilities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4"/>
                <w:szCs w:val="14"/>
              </w:rPr>
              <w:t xml:space="preserve">Pablo Pulido Sierra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CEO (since 2026)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10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Grupo Casino, Grupo Éxito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Commercial profile; experience in regional integrations.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Fernando de Peña Iver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CEO (until 2025)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35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Led the company until 2025; extensive career in Latin American retail.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Derek Schweitzer Tang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Administration and Finance Officer (CFO)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Since 2023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BRMalls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International experience; his area leads the financial structure and the entry into global indices (MSCI).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Carlos Honorato C.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CTO, Chief Technology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Ripley.com, Neoris, Alto Movup, ProChile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modernizing omnichannel sales and corporate cybersecurity.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María Sol de Cabo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People and Culture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Since 2025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Betterfly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Over 20 years of international experience in talent management.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Oscar Munizaga Delfín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Development and Business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34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growth through M&amp;A and greenfield developments.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Luis Hernán Silva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Chief Legal, Risk and Compliance Officer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27 years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Career at Mallplaza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4"/>
                <w:szCs w:val="14"/>
              </w:rPr>
              <w:t xml:space="preserve">Responsible for corporate legal affairs and risk and compliance management.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company public information; Team notes (track record).</w:t>
      </w:r>
    </w:p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76e5c5d5e3b831d3a6082e34880dd0764b9702.png"/><Relationship Id="rId10" Type="http://schemas.openxmlformats.org/officeDocument/2006/relationships/image" Target="media/6c32e3d1a1d4ea4565596481224b7e392927ea41.png"/><Relationship Id="rId11" Type="http://schemas.openxmlformats.org/officeDocument/2006/relationships/image" Target="media/fb371acf9afb43003bfd5fcfe998ff3f42126817.png"/><Relationship Id="rId12" Type="http://schemas.openxmlformats.org/officeDocument/2006/relationships/image" Target="media/9d7f4f37ccf94ef7fd235868df77621056da952c.png"/><Relationship Id="rId13" Type="http://schemas.openxmlformats.org/officeDocument/2006/relationships/image" Target="media/b6ce42f600e79cb79b0a52817697edfb12996ec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2026-10-17T20:56:51.725Z</dcterms:created>
  <dcterms:modified xsi:type="dcterms:W3CDTF">2026-10-17T20:56:51.725Z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