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ENVIRONMENTAL,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competition in Chile (Figure E1), but this is offset by the company's “green” profile at the local level, since it ranks among the leading REM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the benefits of its own operations, the implementation of an energy management system (EnMS) certified under ISO 50001 translates into better energy performance and therefore lower operating costs. The opportunities to access local external benefits are tied to the company's ESG image: in Chile, under the R&amp;D Law (CORFO), PLAZA can obtain up to a 55% reduction in first-category tax; Peru recognizes the company with 2 out of 4 stars in “Huella de Carbono Perú”, which strengthens its image and makes it easier to obtain permits and licenses in the country; and Colombia has Law 2099 of 2021, which allows income-tax deductions for investments in environmental control, conservation and improvement. In addition, the company holds certifications and recognitions that support its ESG image and has joined indices such as DJSI MILA (Figure E1). Figure E6 estimates (as a scenario, not as data) that operating ESG savings add about CLP 2 per share and that a 25 bp cut in the cost of debt and equity would add CLP 71, against the CLP 1,406 that separate the target price from the share price.</w:t>
            </w:r>
          </w:p>
          <w:p>
            <w:pPr>
              <w:pBdr>
                <w:bottom w:val="single" w:color="E9004B" w:sz="8" w:space="1"/>
              </w:pBdr>
              <w:spacing w:after="50" w:before="9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which translates into cost savings in its operations. To this end, it has set three strategic focus areas on ESG parameters: energy and water efficiency, carbon footprint, and waste management. PLAZA's main objective is to achieve carbon neutrality, targeting Net Zero in direct and indirect emissions by 2035 (65.6% success rate in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success rate in 2025; Figure E2). The electricity efficiency target is for 100% to come from renewable energy by 2026 (89.3% success rate). In 2025, the annual ratio was 0.16 MWh/m² (Energy/GLA), of which 0.14 was renewable and 0.014 non-renewable (Figure E3). </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(average)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success rate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the waste generated in 2025 (94.8% success rate; Figure E3 and Appendix [Y], Figure S4),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an environmental due diligence on asset acquisitions, under an environmental compliance program aligned with ISO 14001 and monitored by the sustainability committee.</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(Appendix [Y], Figure S3),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materiality assessments and organizational culture surveys (Appendix [Y], section 5), and remains alert to any social incident through its integrity hotline. It is also recognized by CADEM at 31st out of 385 in “Marcas Ciudadanas” (“Citizen Brands”), winning the “Shopping Centers” category (2026). Regarding employees, they receive training and even have access to specific programs for those nearing retirement;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E4).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spacing w:after="60" w:before="0" w:line="228" w:lineRule="auto"/>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E4), a point in the company's favor in terms of workforce balance, but there is a gender pay gap averaging 28% at the regional level, which undermines that balance; in addition, there is only one woman on the Board, out of 9 directors. The target for 2028 is for 60% of the properties to be certified as inclusive spaces, and PLAZA obtained the “Sello Mayor” (“Senior Seal”) at one of its urban centers, the first in Chile to obtain it, a distinction that certifies physical and operational adaptation for older adults. These certifications matter to the community, and as PLAZA expands it is important that it builds to the parameters the certification requires, avoiding additional costs of retrofitting those facilities in the future, and begins the transition of its existing centers to these conditions.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E1: </w:t>
            </w:r>
            <w:r>
              <w:rPr>
                <w:rFonts w:ascii="Arial" w:cs="Arial" w:eastAsia="Arial" w:hAnsi="Arial"/>
                <w:color w:val="14284B"/>
                <w:sz w:val="14"/>
                <w:szCs w:val="14"/>
              </w:rPr>
              <w:t xml:space="preserve">Bloomberg ESG score and external ratings.</w:t>
            </w:r>
            <w:r>
              <w:br/>
            </w: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2105025"/>
                          </a:xfrm>
                          <a:prstGeom prst="rect">
                            <a:avLst/>
                          </a:prstGeom>
                        </pic:spPr>
                      </pic:pic>
                    </a:graphicData>
                  </a:graphic>
                </wp:inline>
              </w:drawing>
            </w:r>
            <w:r>
              <w:br/>
            </w: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p>
            <w:pPr>
              <w:keepLines/>
              <w:spacing w:after="20" w:before="90" w:line="240" w:lineRule="auto"/>
            </w:pPr>
            <w:r>
              <w:rPr>
                <w:rFonts w:ascii="Arial" w:cs="Arial" w:eastAsia="Arial" w:hAnsi="Arial"/>
                <w:b/>
                <w:bCs/>
                <w:color w:val="14284B"/>
                <w:sz w:val="14"/>
                <w:szCs w:val="14"/>
              </w:rPr>
              <w:t xml:space="preserve">Figure E2: </w:t>
            </w:r>
            <w:r>
              <w:rPr>
                <w:rFonts w:ascii="Arial" w:cs="Arial" w:eastAsia="Arial" w:hAnsi="Arial"/>
                <w:color w:val="14284B"/>
                <w:sz w:val="14"/>
                <w:szCs w:val="14"/>
              </w:rPr>
              <w:t xml:space="preserve">Environmental targets: progress to 2025.</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p>
            <w:pPr>
              <w:keepLines/>
              <w:spacing w:after="20" w:before="90" w:line="240" w:lineRule="auto"/>
            </w:pPr>
            <w:r>
              <w:rPr>
                <w:rFonts w:ascii="Arial" w:cs="Arial" w:eastAsia="Arial" w:hAnsi="Arial"/>
                <w:b/>
                <w:bCs/>
                <w:color w:val="14284B"/>
                <w:sz w:val="14"/>
                <w:szCs w:val="14"/>
              </w:rPr>
              <w:t xml:space="preserve">Figure E3: </w:t>
            </w:r>
            <w:r>
              <w:rPr>
                <w:rFonts w:ascii="Arial" w:cs="Arial" w:eastAsia="Arial" w:hAnsi="Arial"/>
                <w:color w:val="14284B"/>
                <w:sz w:val="14"/>
                <w:szCs w:val="14"/>
              </w:rPr>
              <w:t xml:space="preserve">Renewable energy and waste recovery, 2025.</w:t>
            </w:r>
            <w:r>
              <w:br/>
            </w: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r>
              <w:br/>
            </w: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p>
            <w:pPr>
              <w:keepLines/>
              <w:spacing w:after="20" w:before="90" w:line="240" w:lineRule="auto"/>
            </w:pPr>
            <w:r>
              <w:rPr>
                <w:rFonts w:ascii="Arial" w:cs="Arial" w:eastAsia="Arial" w:hAnsi="Arial"/>
                <w:b/>
                <w:bCs/>
                <w:color w:val="14284B"/>
                <w:sz w:val="14"/>
                <w:szCs w:val="14"/>
              </w:rPr>
              <w:t xml:space="preserve">Figure E4: </w:t>
            </w:r>
            <w:r>
              <w:rPr>
                <w:rFonts w:ascii="Arial" w:cs="Arial" w:eastAsia="Arial" w:hAnsi="Arial"/>
                <w:color w:val="14284B"/>
                <w:sz w:val="14"/>
                <w:szCs w:val="14"/>
              </w:rPr>
              <w:t xml:space="preserve">Social indicators.</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NPS = % of promoters (scores 9–10) minus % of detractors (0–6). Source: Mallplaza 2025 Annual Report.</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The Board is composed of 9 members, only one of whom is classified as independent, below 50%, which creates agency risks (Figure E5 and Appendix [Y], Figure S2) and is the only unfavorable factor in the ESG risk matrix (Appendix [Y], Figure S5). This body is responsible for defining PLAZA's objectives, strategies and policies, while the directors' committee (composed of 3 members) reviews the balance sheets and financial statements, seeking to mitigate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Executive compensation:</w:t>
            </w:r>
            <w:r>
              <w:rPr>
                <w:rFonts w:ascii="Arial" w:cs="Arial" w:eastAsia="Arial" w:hAnsi="Arial"/>
                <w:i w:val="false"/>
                <w:iCs w:val="false"/>
                <w:color w:val="1A1A1A"/>
                <w:sz w:val="16"/>
                <w:szCs w:val="16"/>
              </w:rPr>
              <w:t xml:space="preserve"> 33.3% of executives' variable pay depends on ESG KPIs, and in total 61% is tied to non-financial metrics (Figure E5), which aligns management's incentives with PLAZA's ESG goals.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(53.10% of the shares; Appendix [Y], Figure S1);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in 2025 the company reported regional non-compliance cases and complaints related to workers and customers, but none concerning corruption or conduct that undermines market development (Appendix [Y], section 3).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E5: </w:t>
            </w:r>
            <w:r>
              <w:rPr>
                <w:rFonts w:ascii="Arial" w:cs="Arial" w:eastAsia="Arial" w:hAnsi="Arial"/>
                <w:color w:val="14284B"/>
                <w:sz w:val="14"/>
                <w:szCs w:val="14"/>
              </w:rPr>
              <w:t xml:space="preserve">ESG incentives and Board composition.</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p>
            <w:pPr>
              <w:keepLines/>
              <w:spacing w:after="20" w:before="90" w:line="240" w:lineRule="auto"/>
            </w:pPr>
            <w:r>
              <w:rPr>
                <w:rFonts w:ascii="Arial" w:cs="Arial" w:eastAsia="Arial" w:hAnsi="Arial"/>
                <w:b/>
                <w:bCs/>
                <w:color w:val="14284B"/>
                <w:sz w:val="14"/>
                <w:szCs w:val="14"/>
              </w:rPr>
              <w:t xml:space="preserve">Figure E6: </w:t>
            </w:r>
            <w:r>
              <w:rPr>
                <w:rFonts w:ascii="Arial" w:cs="Arial" w:eastAsia="Arial" w:hAnsi="Arial"/>
                <w:color w:val="14284B"/>
                <w:sz w:val="14"/>
                <w:szCs w:val="14"/>
              </w:rPr>
              <w:t xml:space="preserve">ESG savings and lower cost of capital versus the share price (scenario).</w:t>
            </w:r>
            <w:r>
              <w:br/>
            </w:r>
            <w:r>
              <w:drawing>
                <wp:inline distT="0" distB="0" distL="0" distR="0">
                  <wp:extent cx="22574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286000"/>
                          </a:xfrm>
                          <a:prstGeom prst="rect">
                            <a:avLst/>
                          </a:prstGeom>
                        </pic:spPr>
                      </pic:pic>
                    </a:graphicData>
                  </a:graphic>
                </wp:inline>
              </w:drawing>
            </w:r>
            <w:r>
              <w:br/>
            </w:r>
            <w:r>
              <w:rPr>
                <w:rFonts w:ascii="Arial" w:cs="Arial" w:eastAsia="Arial" w:hAnsi="Arial"/>
                <w:i w:val="false"/>
                <w:iCs w:val="false"/>
                <w:color w:val="5F5F5F"/>
                <w:sz w:val="11"/>
                <w:szCs w:val="11"/>
              </w:rPr>
              <w:t xml:space="preserve">Scenario: unit prices (energy CLP 110/kWh, water CLP 1,500/m³, waste CLP 10,000/t), the 25% of savings retained by Mallplaza and the 25 bp cut in Kd and Ke are team assumptions, not data from the sources. Volumes: Mallplaza 2025 Annual Report. Source: model v3, ESG_Ahorros sheet;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436bb3aa9a686f40cb70464b01c0030364a1d6.png"/><Relationship Id="rId10" Type="http://schemas.openxmlformats.org/officeDocument/2006/relationships/image" Target="media/9186d6d0fd41b9f3fd8c32d4b6b821345cc10ac1.png"/><Relationship Id="rId11" Type="http://schemas.openxmlformats.org/officeDocument/2006/relationships/image" Target="media/51e598226025a42a737e6fef5a13425c2c8649a0.png"/><Relationship Id="rId12" Type="http://schemas.openxmlformats.org/officeDocument/2006/relationships/image" Target="media/9570f91f852c6c39aad8d6f047dd2c1bef9ac37e.png"/><Relationship Id="rId13" Type="http://schemas.openxmlformats.org/officeDocument/2006/relationships/image" Target="media/7f8911a6a4fdcc2831d9e8a06b4c90219a71b39d.png"/><Relationship Id="rId14" Type="http://schemas.openxmlformats.org/officeDocument/2006/relationships/image" Target="media/e5b584d1e109e6d51d861c2bfc30932feb30916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2026-10-17T20:56:51.666Z</dcterms:created>
  <dcterms:modified xsi:type="dcterms:W3CDTF">2026-10-17T20:56:51.666Z</dcterms:modified>
</cp:coreProperties>
</file>

<file path=docProps/custom.xml><?xml version="1.0" encoding="utf-8"?>
<Properties xmlns="http://schemas.openxmlformats.org/officeDocument/2006/custom-properties" xmlns:vt="http://schemas.openxmlformats.org/officeDocument/2006/docPropsVTypes"/>
</file>