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pts) de la industria a nivel global y de su competencia directa en Chile (figura E1), pero esto se contrarresta con el perfil “verde” de la empresa a nivel local, ya que esta figura como una de las principales REM a nivel regional.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de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 Además la empresa tiene certificaciones y reconocimientos que aportan a su imagen ESG, y se ha incorporado a índices como el DJSI MILA (figura E1).</w:t>
            </w:r>
            <w:r>
              <w:rPr>
                <w:rFonts w:ascii="Arial" w:cs="Arial" w:eastAsia="Arial" w:hAnsi="Arial"/>
                <w:i w:val="false"/>
                <w:iCs w:val="false"/>
                <w:color w:val="1A1A1A"/>
                <w:sz w:val="16"/>
                <w:szCs w:val="16"/>
              </w:rPr>
              <w:t xml:space="preserve"> La figura E6 estima (como escenario, no como dato) que los ahorros operativos ESG suman unos CLP 2 por acción y que una rebaja de 25 pb en el costo de la deuda y del capital propio aportaría CLP 71, frente a los CLP 1.406 que separan el precio objetivo del precio de la acción.</w:t>
            </w:r>
          </w:p>
          <w:p>
            <w:pPr>
              <w:pBdr>
                <w:bottom w:val="single" w:color="E9004B" w:sz="8" w:space="1"/>
              </w:pBdr>
              <w:spacing w:after="50" w:before="9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lo que se traduce en ahorro de costos de su operación,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success rate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se ha propuesto disminuir en un 22% la intensidad energética del gasto común para el 2035 (35.5% success rate 2025; figura E2). La meta propuesta de eficiencia eléctrica es que el 100% sea de energías renovables en 2026 (89.3% success rate). En 2025 la proporción anual fue 0.16 MWh/m2 (Energía/GLA), siendo 0.14 renovable y 0.014 no renovable) (figura E3).</w:t>
            </w:r>
            <w:r>
              <w:rPr>
                <w:rFonts w:ascii="Arial" w:cs="Arial" w:eastAsia="Arial" w:hAnsi="Arial"/>
                <w:b/>
                <w:bCs/>
                <w:i w:val="false"/>
                <w:iCs w:val="false"/>
                <w:color w:val="14284B"/>
                <w:sz w:val="16"/>
                <w:szCs w:val="16"/>
              </w:rPr>
              <w:t xml:space="preserve"> Water:</w:t>
            </w:r>
            <w:r>
              <w:rPr>
                <w:rFonts w:ascii="Arial" w:cs="Arial" w:eastAsia="Arial" w:hAnsi="Arial"/>
                <w:i w:val="false"/>
                <w:iCs w:val="false"/>
                <w:color w:val="1A1A1A"/>
                <w:sz w:val="16"/>
                <w:szCs w:val="16"/>
              </w:rPr>
              <w:t xml:space="preserve"> Fijó el objetivo en disminuir en un 30% el consumo directo de agua para 2025, lo que se logró en un 100,9% esto se ve influenciado por sus certificaciones LEED y EDGE. En 2025 la proporción anual (promedio) fue 0.77 m3/m2 (Agua/GLA) y 0.66 m3/m2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success rate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propuso un 60% de valorización de residuos generados el 2025 (94.8% success rate; figura E3 y Anexo [Y], figura S4),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(Anexo [Y], figura S3),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evaluaciones de materialidad y encuestas de cultura organizacional (Anexo [Y], sección 5),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E4).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spacing w:after="60" w:before="0" w:line="228" w:lineRule="auto"/>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E4), siendo un punto a favor para la empresa en cuanto al balance de trabajadores en la organización, pero hay una brecha salarial entre hombres y mujeres con media de 28% a nivel regional, lo que daña dicho equilibrio organizacional, además en cuanto al directorio, sólo hay una mujer presente en la composición de 9 directores. La meta al 2028 es que el 60% de los establecimientos estén certificados como espacios inclusivos, además PLAZA obtuvo “Sello Mayor” en uno de sus centros urbanos, siendo el primero de Chile en obtenerlo, distinción que certifica la adaptación física y operacional para las personas mayores, estas certificaciones son significativas para la comunidad y es importante que PLAZA al expandirse, construya bajo los parámetros que exige la certificación, evitando costos adicionales de adaptar en el futuro dichas instalaciones, y empiece la transición de los centros existentes a estas condiciones.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Figura E1: </w:t>
            </w:r>
            <w:r>
              <w:rPr>
                <w:rFonts w:ascii="Arial" w:cs="Arial" w:eastAsia="Arial" w:hAnsi="Arial"/>
                <w:color w:val="14284B"/>
                <w:sz w:val="14"/>
                <w:szCs w:val="14"/>
              </w:rPr>
              <w:t xml:space="preserve">Puntaje ESG de Bloomberg y ratings externos.</w:t>
            </w:r>
            <w:r>
              <w:br/>
            </w: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2105025"/>
                          </a:xfrm>
                          <a:prstGeom prst="rect">
                            <a:avLst/>
                          </a:prstGeom>
                        </pic:spPr>
                      </pic:pic>
                    </a:graphicData>
                  </a:graphic>
                </wp:inline>
              </w:drawing>
            </w:r>
            <w:r>
              <w:br/>
            </w:r>
            <w:r>
              <w:rPr>
                <w:rFonts w:ascii="Arial" w:cs="Arial" w:eastAsia="Arial" w:hAnsi="Arial"/>
                <w:i w:val="false"/>
                <w:iCs w:val="false"/>
                <w:color w:val="5F5F5F"/>
                <w:sz w:val="11"/>
                <w:szCs w:val="11"/>
              </w:rPr>
              <w:t xml:space="preserve">Fuente: Bloomberg (puntaje ESG); MSCI, Morningstar Sustainalytics, S&amp;P Global, Huella Perú; Memoria Mallplaza 2025.</w:t>
            </w:r>
          </w:p>
          <w:p>
            <w:pPr>
              <w:keepLines/>
              <w:spacing w:after="20" w:before="90" w:line="240" w:lineRule="auto"/>
            </w:pPr>
            <w:r>
              <w:rPr>
                <w:rFonts w:ascii="Arial" w:cs="Arial" w:eastAsia="Arial" w:hAnsi="Arial"/>
                <w:b/>
                <w:bCs/>
                <w:color w:val="14284B"/>
                <w:sz w:val="14"/>
                <w:szCs w:val="14"/>
              </w:rPr>
              <w:t xml:space="preserve">Figura E2: </w:t>
            </w:r>
            <w:r>
              <w:rPr>
                <w:rFonts w:ascii="Arial" w:cs="Arial" w:eastAsia="Arial" w:hAnsi="Arial"/>
                <w:color w:val="14284B"/>
                <w:sz w:val="14"/>
                <w:szCs w:val="14"/>
              </w:rPr>
              <w:t xml:space="preserve">Metas ambientales: avance a 2025.</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Memoria Mallplaza 2025.</w:t>
            </w:r>
          </w:p>
          <w:p>
            <w:pPr>
              <w:keepLines/>
              <w:spacing w:after="20" w:before="90" w:line="240" w:lineRule="auto"/>
            </w:pPr>
            <w:r>
              <w:rPr>
                <w:rFonts w:ascii="Arial" w:cs="Arial" w:eastAsia="Arial" w:hAnsi="Arial"/>
                <w:b/>
                <w:bCs/>
                <w:color w:val="14284B"/>
                <w:sz w:val="14"/>
                <w:szCs w:val="14"/>
              </w:rPr>
              <w:t xml:space="preserve">Figura E3: </w:t>
            </w:r>
            <w:r>
              <w:rPr>
                <w:rFonts w:ascii="Arial" w:cs="Arial" w:eastAsia="Arial" w:hAnsi="Arial"/>
                <w:color w:val="14284B"/>
                <w:sz w:val="14"/>
                <w:szCs w:val="14"/>
              </w:rPr>
              <w:t xml:space="preserve">Energía renovable y valorización de residuos, 2025.</w:t>
            </w:r>
            <w:r>
              <w:br/>
            </w: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r>
              <w:br/>
            </w: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p>
            <w:pPr>
              <w:keepLines/>
              <w:spacing w:after="20" w:before="90" w:line="240" w:lineRule="auto"/>
            </w:pPr>
            <w:r>
              <w:rPr>
                <w:rFonts w:ascii="Arial" w:cs="Arial" w:eastAsia="Arial" w:hAnsi="Arial"/>
                <w:b/>
                <w:bCs/>
                <w:color w:val="14284B"/>
                <w:sz w:val="14"/>
                <w:szCs w:val="14"/>
              </w:rPr>
              <w:t xml:space="preserve">Figura E4: </w:t>
            </w:r>
            <w:r>
              <w:rPr>
                <w:rFonts w:ascii="Arial" w:cs="Arial" w:eastAsia="Arial" w:hAnsi="Arial"/>
                <w:color w:val="14284B"/>
                <w:sz w:val="14"/>
                <w:szCs w:val="14"/>
              </w:rPr>
              <w:t xml:space="preserve">Indicadores sociales.</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NPS = % de promotores (notas 9–10) menos % de detractores (0–6). Fuente: Memoria Mallplaza 2025.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El Directorio está compuesto por 9 miembros, donde sólo uno es catalogado como independiente, estando por debajo del 50%, lo que genera riesgos de agencia (figura E5 y Anexo [Y], figura S2) y constituye el único factor desfavorable de la matriz de riesgo ESG (Anexo [Y], figura S5). Este órgano es el responsable de definir objetivos, estrategias y políticas de PLAZA, mientras que el comité de directores (compuesto por 3 integrantes) busca revisar los balances y estados financieros, buscando mitigar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Executive compensation: </w:t>
            </w:r>
            <w:r>
              <w:rPr>
                <w:rFonts w:ascii="Arial" w:cs="Arial" w:eastAsia="Arial" w:hAnsi="Arial"/>
                <w:i w:val="false"/>
                <w:iCs w:val="false"/>
                <w:color w:val="1A1A1A"/>
                <w:sz w:val="16"/>
                <w:szCs w:val="16"/>
              </w:rPr>
              <w:t xml:space="preserve">El 33.3% de la remuneración variable de los ejecutivos depende de KPIs ESG, y en total el 61% se asocia a métricas no financieras (figura E5), lo que alinea los incentivos de la gerencia con las metas ESG de PLAZA.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PLAZA tiene un modelo de control concentrado, donde es controlado por Falabella S.A. por medio de su filial Desarrollos Inmobiliarios SpA (53.10% de las acciones; Anexo [Y], figura S1),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en 2025 la empresa reportó casos de incumplimiento y denuncias a nivel regional, relacionados a los trabajadores y clientes, pero ninguna referente a corrupción o que atente al desarrollo del mercado (Anexo [Y], sección 3).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Figura E5: </w:t>
            </w:r>
            <w:r>
              <w:rPr>
                <w:rFonts w:ascii="Arial" w:cs="Arial" w:eastAsia="Arial" w:hAnsi="Arial"/>
                <w:color w:val="14284B"/>
                <w:sz w:val="14"/>
                <w:szCs w:val="14"/>
              </w:rPr>
              <w:t xml:space="preserve">Incentivos ESG y composición del Directorio.</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Fuente: Memoria Mallplaza 2025.</w:t>
            </w:r>
          </w:p>
          <w:p>
            <w:pPr>
              <w:keepLines/>
              <w:spacing w:after="20" w:before="90" w:line="240" w:lineRule="auto"/>
            </w:pPr>
            <w:r>
              <w:rPr>
                <w:rFonts w:ascii="Arial" w:cs="Arial" w:eastAsia="Arial" w:hAnsi="Arial"/>
                <w:b/>
                <w:bCs/>
                <w:color w:val="14284B"/>
                <w:sz w:val="14"/>
                <w:szCs w:val="14"/>
              </w:rPr>
              <w:t xml:space="preserve">Figura E6: </w:t>
            </w:r>
            <w:r>
              <w:rPr>
                <w:rFonts w:ascii="Arial" w:cs="Arial" w:eastAsia="Arial" w:hAnsi="Arial"/>
                <w:color w:val="14284B"/>
                <w:sz w:val="14"/>
                <w:szCs w:val="14"/>
              </w:rPr>
              <w:t xml:space="preserve">Ahorros ESG y menor costo de capital frente al precio de la acción (escenario).</w:t>
            </w:r>
            <w:r>
              <w:br/>
            </w:r>
            <w:r>
              <w:drawing>
                <wp:inline distT="0" distB="0" distL="0" distR="0">
                  <wp:extent cx="22574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86000"/>
                          </a:xfrm>
                          <a:prstGeom prst="rect">
                            <a:avLst/>
                          </a:prstGeom>
                        </pic:spPr>
                      </pic:pic>
                    </a:graphicData>
                  </a:graphic>
                </wp:inline>
              </w:drawing>
            </w:r>
            <w:r>
              <w:br/>
            </w:r>
            <w:r>
              <w:rPr>
                <w:rFonts w:ascii="Arial" w:cs="Arial" w:eastAsia="Arial" w:hAnsi="Arial"/>
                <w:i w:val="false"/>
                <w:iCs w:val="false"/>
                <w:color w:val="5F5F5F"/>
                <w:sz w:val="11"/>
                <w:szCs w:val="11"/>
              </w:rPr>
              <w:t xml:space="preserve">Escenario: los precios unitarios (energía CLP 110/kWh, agua CLP 1.500/m³, residuos CLP 10.000/t), el 25% del ahorro que retiene Mallplaza y la rebaja de 25 pb en Kd y Ke son supuestos del equipo, no datos de las fuentes. Volúmenes: Memoria Mallplaza 2025. Fuente: modelo v3, hoja ESG_Ahorros;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eb7462150d49f700ff89cf644c23b43b6a46d1.png"/><Relationship Id="rId10" Type="http://schemas.openxmlformats.org/officeDocument/2006/relationships/image" Target="media/bb229cbba7c93bbcdce30a13122f93af2ad5370c.png"/><Relationship Id="rId11" Type="http://schemas.openxmlformats.org/officeDocument/2006/relationships/image" Target="media/f4d3967792585fdbdfd5500d140b57cf27c616b6.png"/><Relationship Id="rId12" Type="http://schemas.openxmlformats.org/officeDocument/2006/relationships/image" Target="media/4bc2b50fc361b46958993af72b6fed0f46eec7a4.png"/><Relationship Id="rId13" Type="http://schemas.openxmlformats.org/officeDocument/2006/relationships/image" Target="media/85905f3480284006c687d1127adc6063810694a6.png"/><Relationship Id="rId14" Type="http://schemas.openxmlformats.org/officeDocument/2006/relationships/image" Target="media/3622e2e25ccfcc3a8d1679c98f94afcbcbc5cfe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2026-10-17T20:56:50.811Z</dcterms:created>
  <dcterms:modified xsi:type="dcterms:W3CDTF">2026-10-17T20:56:50.818Z</dcterms:modified>
</cp:coreProperties>
</file>

<file path=docProps/custom.xml><?xml version="1.0" encoding="utf-8"?>
<Properties xmlns="http://schemas.openxmlformats.org/officeDocument/2006/custom-properties" xmlns:vt="http://schemas.openxmlformats.org/officeDocument/2006/docPropsVTypes"/>
</file>