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ageBreakBefore/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[B]: DISCOUNTED CASH FLOW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4"/>
          <w:szCs w:val="14"/>
        </w:rPr>
        <w:t xml:space="preserve">FCFF in nominal CLP from 30-Jun-26, mid-period convention and each period's WACC (Appendix [Z]). Capex is split into maintenance and IT (5.5% of revenue) and incremental capex (pipeline under way and continuous expansion). Terminal value uses 2032E FCFF with nominal g of 3.0% (0% real: terminal incremental capex is zero because RONIC is below the real WACC) and a terminal WACC of 10.41%, and includes 108,301 m² of GLA maturing after 2031. It explains 78% of EV. Sections D and E break down each line and prove it ties to the DCF.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FIRM FREE CASH FLOW BY PERIOD (CLP MM)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6"/>
        <w:gridCol w:w="1070"/>
        <w:gridCol w:w="1070"/>
        <w:gridCol w:w="1070"/>
        <w:gridCol w:w="1070"/>
        <w:gridCol w:w="1070"/>
        <w:gridCol w:w="1070"/>
        <w:gridCol w:w="1080"/>
      </w:tblGrid>
      <w:tr>
        <w:trPr>
          <w:tblHeader/>
        </w:trPr>
        <w:tc>
          <w:tcPr>
            <w:tcW w:type="dxa" w:w="3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2H26E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Total revenue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364,469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767,179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826,662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886,792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935,616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982,334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1,030,197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EBITDA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290,741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611,360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659,160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707,354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746,336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783,607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821,950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EBITDA margin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Cash tax rate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16.8%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19.0%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21.5%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24.0%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NOPAT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239,763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490,829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512,875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532,847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540,019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566,987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594,732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(+) D&amp;A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2,565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5,398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5,817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6,240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6,583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6,912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7,249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Maintenance + IT capex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(19,360)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(42,195)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(45,466)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(48,592)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(50,783)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(52,766)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(56,661)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Incremental capex: pipeline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(130,546)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(247,924)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(155,398)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−0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Incremental capex: continuous expansion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(46,268)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(95,313)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(98,172)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(101,117)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(104,151)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Working capital investment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(3,908)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(9,859)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(9,282)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(9,383)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(7,619)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(7,290)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(4,682)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FCFF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88,514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149,981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213,233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382,940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387,084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409,693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540,638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WACC of the period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10.54%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10.51%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10.48%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10.46%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10.44%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10.41%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10.41%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Discount factor (mid-period)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0.9753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0.9048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0.8188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0.7412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0.6711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0.6078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PV of FCFF / terminal value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86,325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135,701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174,604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283,847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259,780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248,997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4,217,777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FROM ENTERPRISE VALUE TO VALUE PER SHARE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025"/>
              <w:gridCol w:w="1200"/>
              <w:gridCol w:w="1000"/>
            </w:tblGrid>
            <w:tr>
              <w:trPr>
                <w:tblHeader/>
              </w:trP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Item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 MM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CLP/share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PV of explicit FCFF (2H26E–2031E)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1,189,255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543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PV of terminal value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4,217,777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1,926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Enterprise value (EV)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5,407,032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2,469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(−) Net financial debt 30-Jun-26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(1,285,740)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(587)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(−) Minorities (book)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(50,841)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(23)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Equity value / per share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4,070,451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1,859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DCF VALUE SENSITIVITY (CLP/SHARE)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225"/>
              <w:gridCol w:w="1000"/>
              <w:gridCol w:w="1000"/>
              <w:gridCol w:w="1000"/>
              <w:gridCol w:w="1000"/>
            </w:tblGrid>
            <w:tr>
              <w:trPr>
                <w:tblHeader/>
              </w:trP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Δ WACC \ g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2.5%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3.0%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3.5%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4.0%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2,329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2,288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2,238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2,176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2,106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2,058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2,000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1,930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−0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1,912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1,859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1,796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1,722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+50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1,741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1,685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1,620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1,544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+100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1,590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1,533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1,467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1,391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Terminal value at 31-Dec-31: CLP 7,292,232 MM (implied terminal cap rate 11.3%; implied LTM EV/EBITDA of EV 9.9x). Bloomberg net debt (CLP 1,311,569 MM, used in multiples) differs from net financial debt by IFRS 16 lease liabilities (CLP 25,828 MM at Jun-26). Source: model v4, DCF and Sensibilidad sheets; 2,190 MM shares.</w:t>
      </w:r>
    </w:p>
    <w:p>
      <w:pPr>
        <w:pBdr>
          <w:bottom w:val="single" w:color="E9004B" w:sz="8" w:space="1"/>
        </w:pBdr>
        <w:spacing w:after="50" w:before="10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D. BREAKDOWN OF THE DCF LINES (CLP MM UNLESS STATED)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6"/>
        <w:gridCol w:w="1070"/>
        <w:gridCol w:w="1070"/>
        <w:gridCol w:w="1070"/>
        <w:gridCol w:w="1070"/>
        <w:gridCol w:w="1070"/>
        <w:gridCol w:w="1070"/>
        <w:gridCol w:w="1080"/>
      </w:tblGrid>
      <w:tr>
        <w:trPr>
          <w:tblHeader/>
        </w:trPr>
        <w:tc>
          <w:tcPr>
            <w:tcW w:type="dxa" w:w="3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2H26E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Revenue: base + expansion (D1)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Base revenue (operating engine)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364,469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767,179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826,662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883,482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923,322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959,374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(+) Continuous expansion (cohorts from 2029)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3,309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12,294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22,960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 / Peru / Colombia, calendar year (CLP bn)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498.4 / 131.3 / 75.2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533.9 / 145.2 / 88.1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577.4 / 159.8 / 89.4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619.6 / 171.6 / 92.2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647.9 / 178.6 / 96.8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672.6 / 184.9 / 101.8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Bridge to terminal: + maturation of 108,301 m²; × (1 + 3.0%)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40,818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30,006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EBITDA and D&amp;A (D2–D3)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Base EBITDA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290,741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611,360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659,160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704,685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736,420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765,088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(+) Expansion EBITDA (margin 80.7%)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2,669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9,916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18,519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EBITDA Chile / Peru / Colombia, calendar year (80/82/74%)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398.7 / 107.7 / 55.7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427.1 / 119.0 / 65.2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461.9 / 131.1 / 66.2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495.7 / 140.7 / 68.2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518.3 / 146.5 / 71.7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538.1 / 151.6 / 75.4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D&amp;A = 0.704% × total revenue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2,565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5,398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5,817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6,240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6,583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6,912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7,249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Tax, capex and working capital (D4–D6)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288,177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605,962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653,344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701,114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739,752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776,695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814,701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(−) Tax = EBIT × rate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−48,414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−115,133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−140,469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−168,267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−199,733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−209,708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−219,969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Incremental capex (a): pipeline, USD MM × USDCLP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140.4 × 930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268.7 × 923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169.9 × 915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New GLA opening in the year (m²; pipeline and expansion)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8,900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72,950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88,350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27,075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27,075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27,075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Total capex / revenue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41.1%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43.8%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35.8%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16.5%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16.2%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16.0%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5.5%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Incremental capex / revenue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35.8%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38.3%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30.3%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11.1%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10.8%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10.6%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0.0%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Δ revenue for working capital (× 15.6%)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25,044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63,180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59,482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60,130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48,824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46,718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30,006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Country revenue from Appendix 13 (calendar year; 0.1 bn precision). 1H26 capex has no breakdown by type: the release only gives the LTM breakdown (USD 132.5m: maintenance 40.0; IT and other 10.2; brownfield 52.5; reconversion 29.1; greenfield 0.7). Yield on cost 7.3%; real RONIC 5.3% vs real WACC 7.2%.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E. TIE-OUT CHECK (CLP MM)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925"/>
              <w:gridCol w:w="1300"/>
            </w:tblGrid>
            <w:tr>
              <w:trPr>
                <w:tblHeader/>
              </w:trPr>
              <w:tc>
                <w:tcPr>
                  <w:tcW w:type="dxa" w:w="3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Line: breakdown − DCF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Max. |diff.| 2H26E–Terminal</w:t>
                  </w:r>
                </w:p>
              </w:tc>
            </w:tr>
            <w:tr>
              <w:tc>
                <w:tcPr>
                  <w:tcW w:type="dxa" w:w="3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Total revenue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Total EBITDA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D&amp;A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Operating tax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NOPAT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Total capex (maintenance + incremental)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Working capital investment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FCFF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PV of FCFF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Terminal value / PV of TV / EV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Value per share (CLP)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READING</w:t>
            </w:r>
          </w:p>
          <w:p>
            <w:pPr>
              <w:shd w:fill="EEF1F6" w:color="auto" w:val="clear"/>
              <w:spacing w:after="4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Maximum absolute difference across all lines and periods: 0. The breakdown only reorders the DCF: EV CLP 5,407,032 MM, DCF value CLP 1,859 and target price CLP 2,077. Incremental capex (pipeline + expansion) weighs 38%–36% of revenue in 2H26E–2027E and ~11% from 2029E; maintenance, 5.5%. The terminal only funds maintenance: growing at a real RONIC of 5.3% under a real WACC of 7.2% would subtract value (Figure 30).</w:t>
            </w:r>
          </w:p>
          <w:p>
            <w:pPr>
              <w:shd w:fill="EEF1F6" w:color="auto" w:val="clear"/>
              <w:spacing w:after="4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Terminal value starts from 2031E revenue (982,334), adds the maturation of the expansion already funded (+40,818) and indexes for inflation (+30,006) to 1,030,197; 2032E FCFF = NOPAT 594,732 + D&amp;A 7,249 − maintenance 56,661 − working capital 4,682 = 540,638.</w:t>
            </w:r>
          </w:p>
        </w:tc>
      </w:tr>
    </w:tbl>
    <w:p>
      <w:pPr>
        <w:pBdr>
          <w:bottom w:val="single" w:color="14284B" w:sz="18" w:space="2"/>
        </w:pBdr>
        <w:spacing w:after="80" w:before="20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[C]: PROJECTION ASSUMPTIONS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4"/>
          <w:szCs w:val="14"/>
        </w:rPr>
        <w:t xml:space="preserve">The base forecast follows the team's operating engine with the full dated pipeline (170,200 m², announced pipeline through 2028, including 46,500 m² of other projects in Chile); from 2029 a continuous expansion at the historical opening pace is added. 2026E revenue is calendar-year; the 2H26E period nets out the 1H26 actual (CLP 339,530 MM of revenue).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REVENUE, CAPEX AND WORKING CAPITAL PROJECTION (CLP MM)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66"/>
        <w:gridCol w:w="1200"/>
        <w:gridCol w:w="1200"/>
        <w:gridCol w:w="1200"/>
        <w:gridCol w:w="1200"/>
        <w:gridCol w:w="1200"/>
        <w:gridCol w:w="1200"/>
      </w:tblGrid>
      <w:tr>
        <w:trPr>
          <w:tblHeader/>
        </w:trPr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2H26E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Base revenue (calendar year)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703,999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767,179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826,662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883,482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923,322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959,374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Total revenue growth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5.0%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Continuous expansion revenue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3,309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12,294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22,960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Base EBITDA margin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Cash tax rate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21.5%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Maintenance + IT capex (5.5% of revenue)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19,360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42,195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45,466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48,592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50,783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52,766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Incremental capex: projects under way (USD MM)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140.4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268.7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169.9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0.0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Average USDCLP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930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915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Incremental capex: projects under way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130,546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247,924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155,398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Incremental capex: continuous expansion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46,268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95,313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98,172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101,117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104,151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Total incremental capex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130,546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201,656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60,085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−98,172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−101,117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−104,151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Total capex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149,906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336,388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296,177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146,764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151,900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156,916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New GLA opening in the year (m²)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8,900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72,950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88,350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27,075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27,075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27,075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Expansion cost per m² (CLP MM, CPI)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3.32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3.42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3.52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3.85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Working capital investment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3,908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9,859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9,282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9,383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7,619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7,290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CONTINUOUS EXPANSION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925"/>
              <w:gridCol w:w="2300"/>
            </w:tblGrid>
            <w:tr>
              <w:trPr>
                <w:tblHeader/>
              </w:trP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Assumption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New GLA per year from 2029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27,075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Base: organic average 2022, 2023 and 2025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30,458 / 38,618 / 12,150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Pipeline under way (2Q26 Release; 2025 Annual Report)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USD 613.2 MM / 170,200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Cost per m² (= pipeline)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USD 3,603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Capex disbursement (from 2027E)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50% in t−2 / 50% en t−1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Revenue ramp (year 1 / 2 / 3+)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35% / 90% / 100%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Chile / Peru mix; EBITDA margin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67.2% / 32.8%; 80% / 82%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Yield on cost / real after-tax RONIC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7.3% / 5.3%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OPERATIONS, CAPITAL AND TERMINAL VALUE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925"/>
              <w:gridCol w:w="2300"/>
            </w:tblGrid>
            <w:tr>
              <w:trPr>
                <w:tblHeader/>
              </w:trP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Assumption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LTM 2Q26 EBITDA margin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80.5%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Maintenance + IT capex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5.5% of revenue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Terminal incremental capex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 (real g 0%)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D&amp;A / revenue (LTM 2Q26)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0.704%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Cash tax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16.8% → 27% (2030)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Net working capital / revenue (Dec-25)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15.6%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Receivables / prepaid rents (Dec-25, CLP MM)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122,370 / 20,247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Terminal nominal g (real)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3.0% (0.0%)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Target net debt/EBITDA; real Kd per turn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3.5x in 2031; +25 bp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Payout on distributable profit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40%</w:t>
                  </w:r>
                </w:p>
              </w:tc>
            </w:tr>
          </w:tbl>
          <w:p/>
        </w:tc>
      </w:tr>
    </w:tbl>
    <w:p>
      <w:pPr>
        <w:pBdr>
          <w:bottom w:val="single" w:color="E9004B" w:sz="8" w:space="1"/>
        </w:pBdr>
        <w:spacing w:after="50" w:before="10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D. DEBT SCHEDULE (CLP MM; DEUDA SHEET)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66"/>
        <w:gridCol w:w="1200"/>
        <w:gridCol w:w="1200"/>
        <w:gridCol w:w="1200"/>
        <w:gridCol w:w="1200"/>
        <w:gridCol w:w="1200"/>
        <w:gridCol w:w="1200"/>
      </w:tblGrid>
      <w:tr>
        <w:trPr>
          <w:tblHeader/>
        </w:trPr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2H26E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Opening net debt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1,285,740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1,382,590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1,632,638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1,896,981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2,182,363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2,457,403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(−) FCFF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88,514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149,981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213,233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382,940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387,084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409,693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(+) Net financial cost, after tax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16,474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34,783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40,471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46,273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51,959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59,437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(+) UF indexation, after tax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12,676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26,542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30,374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34,168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37,757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42,516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(+) Ordinary dividends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60,108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152,016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171,061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175,311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178,543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176,458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(+) Additional distribution (buyback / special dividend)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96,106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186,689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235,670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412,570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393,865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416,502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Closing net debt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1,382,590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1,632,638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1,896,981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2,182,363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2,457,403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2,742,623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Closing net debt / EBITDA (x)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2.46x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2.67x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2.88x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3.09x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3.29x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3.50x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Closing gross debt (constant cash 347,621)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1,730,211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1,980,259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2,244,602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2,529,984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2,805,024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3,090,244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Net debt(t) = net debt(t−1) − FCFF + financial cost and UF indexation after tax + ordinary dividends + additional distribution, which takes net debt to the target path (2.36x → 3.5x). Financial cost: 3.08% of net debt + 25 bp per turn above 2.36x; UF indexation on 79% of debt at 3.0%. Bond maturities: Figure 6. Source: model v4 (2Q26 Release; Dec-25 financials; Exhibits v7).</w:t>
      </w:r>
    </w:p>
    <w:p>
      <w:pPr>
        <w:pageBreakBefore/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[E]: COMPARABLE MULTIPLES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4"/>
          <w:szCs w:val="14"/>
        </w:rPr>
        <w:t xml:space="preserve">We use the same peer set as the WACC beta. LTM EV/EBITDA is the main method (neutral to leverage and to IAS 40 revaluation); the multiple weights the Chilean median 70% and the common-set median 30%. P/E and P/BV mix fair-value and cost-based peers: reference only. Price at 30-Sep-26; Bloomberg net debt and FX at 30-Jun-26.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PEERS (CLP MM; MULTIPLES IN TIMES)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66"/>
        <w:gridCol w:w="900"/>
        <w:gridCol w:w="1150"/>
        <w:gridCol w:w="1150"/>
        <w:gridCol w:w="1100"/>
        <w:gridCol w:w="900"/>
        <w:gridCol w:w="900"/>
        <w:gridCol w:w="850"/>
        <w:gridCol w:w="800"/>
        <w:gridCol w:w="850"/>
      </w:tblGrid>
      <w:tr>
        <w:trPr>
          <w:tblHeader/>
        </w:trPr>
        <w:tc>
          <w:tcPr>
            <w:tcW w:type="dxa" w:w="20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Company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Country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LTM EBITDA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LTM EV/EBITDA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NTM EV/EBITDA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LTM EV/EBIT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LTM P/E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P/BV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Mallplaza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7,785,450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9,147,860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544,935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16.8x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14.8x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16.9x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6.2x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1.6x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3,440,408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5,429,487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294,411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18.4x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18.8x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22.3x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1.8x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3,710,183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4,569,181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350,561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Brazil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2,907,890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3,796,907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421,296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9.6x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2.4x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Brazil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2,656,188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3,895,017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388,839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Brazil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1,381,190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1,763,277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201,423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8.8x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12.1x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1.6x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Argentina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1,140,416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1,789,191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145,686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12.3x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6.2x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13.2x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0.8x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Fibra Danhos (excluded)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Mexico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2,383,999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3,157,944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277,625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11.4x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0.7x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Common-set median (6)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11.1x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1.4x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 median (2)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15.7x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Weighted 70/30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14.4x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12.5x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15.0x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1.4x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VALUE BY MULTIPLE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925"/>
              <w:gridCol w:w="900"/>
              <w:gridCol w:w="1300"/>
              <w:gridCol w:w="1100"/>
            </w:tblGrid>
            <w:tr>
              <w:trPr>
                <w:tblHeader/>
              </w:trP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Multiple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Weighted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Metric CLP MM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CLP/share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LTM EV/EBITDA (main)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14.4x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544,935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2,951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NTM EV/EBITDA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12.5x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617,130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2,914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LTM EV/EBIT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15.1x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540,373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3,098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LTM P/E (ref.)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15.0x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1,258,053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8,644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P/BV (ref.)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1.4x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4,820,898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3,171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SENSITIVITY TO THE WEIGHTING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25"/>
              <w:gridCol w:w="900"/>
              <w:gridCol w:w="1100"/>
              <w:gridCol w:w="1100"/>
              <w:gridCol w:w="1100"/>
            </w:tblGrid>
            <w:tr>
              <w:trPr>
                <w:tblHeader/>
              </w:trP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Chile weight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Multiple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Mult. value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Target price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Δ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100%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15.7x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3,294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2,146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+3.3%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70%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14.4x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2,951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2,077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0.0%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13.4x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2,723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2,032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−2.2%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12.5x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2,495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1,986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−4.4%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11.1x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2,152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1,917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−7.7%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Bridge: 14.36x × LTM EBITDA CLP 544,935 MM = EV 7,825,944 − Bloomberg net debt 1,311,569 − minorities 50,841 = CLP 2,951 per share (2,190 MM shares). Fibra Danhos is excluded because of its FIBRA regime and because it has no beta in the WACC; IRSA reports under IAS 29. Source: Bloomberg; model v4, Comparables and Precio_Objetivo sheets; Figuras_Valuacion, V7.</w:t>
      </w:r>
    </w:p>
    <w:p>
      <w:pPr>
        <w:pBdr>
          <w:bottom w:val="single" w:color="14284B" w:sz="18" w:space="2"/>
        </w:pBdr>
        <w:spacing w:after="80" w:before="20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[F]: SCENARIOS AND ROBUSTNESS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4"/>
          <w:szCs w:val="14"/>
        </w:rPr>
        <w:t xml:space="preserve">No scenario or alternative method reaches the CLP 3,555 price. Scenarios are computed with the DCF replica (it reproduces the base value exactly) and the target price keeps the 80% DCF weight and the multiples value of CLP 2,951. Bear is everything going wrong at once; bull, everything going right; both use the same levers as the Risks tornado. Probability weighting is a cross-check: the target price remains the base-case one.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SCENARIOS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100"/>
        <w:gridCol w:w="6266"/>
        <w:gridCol w:w="1100"/>
        <w:gridCol w:w="1200"/>
        <w:gridCol w:w="1000"/>
      </w:tblGrid>
      <w:tr>
        <w:trPr>
          <w:tblHeader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Scenario</w:t>
            </w:r>
          </w:p>
        </w:tc>
        <w:tc>
          <w:tcPr>
            <w:tcW w:type="dxa" w:w="6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Assumptions (all at once)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DCF (CLP)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Target price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vs price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Bear</w:t>
            </w:r>
          </w:p>
        </w:tc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Everything goes wrong: nominal WACC +100 bp in all periods; EBITDA margin 75.8%, occupancy 95.1%, same-store rent 2027–28 3.7%, tenant sales 3.7%, 2029–31 real growth at the Note 11 floor, visitors 5.6%, maintenance capex 6.6%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1,190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1,542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−56.6%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Base</w:t>
            </w:r>
          </w:p>
        </w:tc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Central: model v4; nominal WACC 10.54% → 10.41%; g 3.0%; margin 79.7%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1,859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2,077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−41.6%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Bull</w:t>
            </w:r>
          </w:p>
        </w:tc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Everything goes right: nominal WACC −100 bp; margin 81.3%, occupancy 96.6%, same-store rent 9.4%, tenant sales 9.9%, real growth at the Note 11 ceiling, visitors 17.3%, maintenance capex 4.8%; cash tax capped at 23%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2,906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2,915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−18.0%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Appraisers</w:t>
            </w:r>
          </w:p>
        </w:tc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WACC 8.72% (5.55% real, Note 11) in all periods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2,679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2,734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−23.1%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Bear and bull are illustrative extreme scenarios with no probability assigned: the probability of outcomes is estimated with the simulation in the next section. Source: Team analysis.</w:t>
      </w:r>
    </w:p>
    <w:p>
      <w:pPr>
        <w:pBdr>
          <w:bottom w:val="single" w:color="E9004B" w:sz="8" w:space="1"/>
        </w:pBdr>
        <w:spacing w:after="50" w:before="12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MONTE CARLO SIMULATION: TARGET PRICE DISTRIBUTION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49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400"/>
              <w:gridCol w:w="1500"/>
            </w:tblGrid>
            <w:tr>
              <w:trPr>
                <w:tblHeader/>
              </w:trPr>
              <w:tc>
                <w:tcPr>
                  <w:tcW w:type="dxa" w:w="3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Simulated target price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34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Mean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2,057</w:t>
                  </w:r>
                </w:p>
              </w:tc>
            </w:tr>
            <w:tr>
              <w:tc>
                <w:tcPr>
                  <w:tcW w:type="dxa" w:w="34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Median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2,047</w:t>
                  </w:r>
                </w:p>
              </w:tc>
            </w:tr>
            <w:tr>
              <w:tc>
                <w:tcPr>
                  <w:tcW w:type="dxa" w:w="34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Standard deviation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168</w:t>
                  </w:r>
                </w:p>
              </w:tc>
            </w:tr>
            <w:tr>
              <w:tc>
                <w:tcPr>
                  <w:tcW w:type="dxa" w:w="34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P5 / P25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1,799 / 1,940</w:t>
                  </w:r>
                </w:p>
              </w:tc>
            </w:tr>
            <w:tr>
              <w:tc>
                <w:tcPr>
                  <w:tcW w:type="dxa" w:w="34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P75 / P95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2,164 / 2,354</w:t>
                  </w:r>
                </w:p>
              </w:tc>
            </w:tr>
            <w:tr>
              <w:tc>
                <w:tcPr>
                  <w:tcW w:type="dxa" w:w="34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Prob. target ≥ CLP 3,555 (price)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0.0%</w:t>
                  </w:r>
                </w:p>
              </w:tc>
            </w:tr>
            <w:tr>
              <w:tc>
                <w:tcPr>
                  <w:tcW w:type="dxa" w:w="34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Prob. target ≥ CLP 4,111 (consensus)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0.0%</w:t>
                  </w:r>
                </w:p>
              </w:tc>
            </w:tr>
            <w:tr>
              <w:tc>
                <w:tcPr>
                  <w:tcW w:type="dxa" w:w="34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Prob. target &lt; CLP 2,077 (base case)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57.3%</w:t>
                  </w:r>
                </w:p>
              </w:tc>
            </w:tr>
          </w:tbl>
          <w:p>
            <w:pPr>
              <w:spacing w:after="20" w:before="40"/>
            </w:pPr>
            <w:r>
              <w:rPr>
                <w:rFonts w:ascii="Arial" w:cs="Arial" w:eastAsia="Arial" w:hAnsi="Arial"/>
                <w:color w:val="1A1A1A"/>
                <w:sz w:val="13"/>
                <w:szCs w:val="13"/>
              </w:rPr>
              <w:t xml:space="preserve">Contribution to variance (rank correlation): WACC 80.8%; Same-store rent 6.2%; EBITDA margin 6.1%; Nominal g 3.2%.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M1: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Target price distribution in 10,000 simulations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100% of simulations stay below the CLP 3,555 price. Source: Team analysis.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Assumptions: 10,000 iterations, seed 42. Triangular distributions (minimum, base, maximum) with the 4Q23–2Q26 historical extremes of the Risks tornado: EBITDA margin 75.8%/80.6%/81.3%; occupancy 95.1%/95.6%/96.6%; same-store rent 2027–28 3.7%/5.4%/9.4%; tenant sales 3.7%/3.7%/9.9% (0.5 correlation with rent, Gaussian copula; the rest independent); real growth 2029–31 between the Note 11 floor and ceiling; visitors 5.6%/9.8%/17.3%; maintenance + IT capex 4.8%/5.5%/6.6% of revenue; nominal g 2.5%/3.0%/4.0%. WACC: normal parallel shift, mean 0, standard deviation 50 bp, truncated at ±150 bp. Long-run tax rate 27% (the cut to 23% is excluded). Target price = 80% DCF + 20% fixed multiples (CLP 2,951). With every variable at its base value the simulation reproduces the CLP 1,859 DCF and the CLP 2,077 target. Source: Team analysis.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ALTERNATIVE METHODS AND ASSUMPTIONS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625"/>
              <w:gridCol w:w="850"/>
              <w:gridCol w:w="900"/>
              <w:gridCol w:w="850"/>
            </w:tblGrid>
            <w:tr>
              <w:trPr>
                <w:tblHeader/>
              </w:trP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Test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DCF (CLP)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Target price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vs price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APV (Ku 11.11%): unlevered value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1,630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(+) tax shields of debt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265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= APV per share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1,895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2,106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−40.8%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Peso-bond Rf 5.43% (WACC −107 bp)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2,323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2,449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−31.1%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DCF VF: constant WACC 10.37%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1,883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2,096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−41.0%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WACC implied by the price: 7.60%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3,555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</w:tbl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DEBT TARGET VS SPREAD (DCF, CLP)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25"/>
              <w:gridCol w:w="1100"/>
              <w:gridCol w:w="1150"/>
              <w:gridCol w:w="1150"/>
            </w:tblGrid>
            <w:tr>
              <w:trPr>
                <w:tblHeader/>
              </w:trP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Net debt/EBITDA \ spread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0 bp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25 bp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50 bp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2.36x (current)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1,820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1,820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1,820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3.0x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1,851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1,843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1,835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3.5x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1,874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1,859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1,844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4.0x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1,897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1,872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1,849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EFFECT OF EACH LEVER ALONE ON THE DCF (CLP/SHARE)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425"/>
              <w:gridCol w:w="900"/>
              <w:gridCol w:w="900"/>
            </w:tblGrid>
            <w:tr>
              <w:trPr>
                <w:tblHeader/>
              </w:trPr>
              <w:tc>
                <w:tcPr>
                  <w:tcW w:type="dxa" w:w="34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Lever (tornado extremes)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Bear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Bull</w:t>
                  </w:r>
                </w:p>
              </w:tc>
            </w:tr>
            <w:tr>
              <w:tc>
                <w:tcPr>
                  <w:tcW w:type="dxa" w:w="34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EBITDA margin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−190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+28</w:t>
                  </w:r>
                </w:p>
              </w:tc>
            </w:tr>
            <w:tr>
              <w:tc>
                <w:tcPr>
                  <w:tcW w:type="dxa" w:w="34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Occupancy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−12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+25</w:t>
                  </w:r>
                </w:p>
              </w:tc>
            </w:tr>
            <w:tr>
              <w:tc>
                <w:tcPr>
                  <w:tcW w:type="dxa" w:w="34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Same-store rent 2027–28 (price)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−76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+183</w:t>
                  </w:r>
                </w:p>
              </w:tc>
            </w:tr>
            <w:tr>
              <w:tc>
                <w:tcPr>
                  <w:tcW w:type="dxa" w:w="34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Real rent growth 2029–31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−47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+26</w:t>
                  </w:r>
                </w:p>
              </w:tc>
            </w:tr>
            <w:tr>
              <w:tc>
                <w:tcPr>
                  <w:tcW w:type="dxa" w:w="34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Maintenance + IT capex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−58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+37</w:t>
                  </w:r>
                </w:p>
              </w:tc>
            </w:tr>
            <w:tr>
              <w:tc>
                <w:tcPr>
                  <w:tcW w:type="dxa" w:w="34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Visitor traffic 2027–28 (parking)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−25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+46</w:t>
                  </w:r>
                </w:p>
              </w:tc>
            </w:tr>
            <w:tr>
              <w:tc>
                <w:tcPr>
                  <w:tcW w:type="dxa" w:w="34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Tenant sales 2027–28 (variable rent)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+16</w:t>
                  </w:r>
                </w:p>
              </w:tc>
            </w:tr>
            <w:tr>
              <w:tc>
                <w:tcPr>
                  <w:tcW w:type="dxa" w:w="34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Nominal WACC ±100 bp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−326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+430</w:t>
                  </w:r>
                </w:p>
              </w:tc>
            </w:tr>
            <w:tr>
              <w:tc>
                <w:tcPr>
                  <w:tcW w:type="dxa" w:w="34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23% tax (bull only)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+136</w:t>
                  </w:r>
                </w:p>
              </w:tc>
            </w:tr>
          </w:tbl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D. SENSITIVITIES REQUESTED BY THE REVIEW (OUTSIDE THE BASE CASE)</w:t>
            </w:r>
          </w:p>
          <w:tbl>
            <w:tblPr>
              <w:tblW w:type="dxa" w:w="49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325"/>
              <w:gridCol w:w="600"/>
              <w:gridCol w:w="600"/>
              <w:gridCol w:w="700"/>
              <w:gridCol w:w="700"/>
            </w:tblGrid>
            <w:tr>
              <w:trPr>
                <w:tblHeader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Sensitivity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DCF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Δ DCF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Target price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vs price</w:t>
                  </w:r>
                </w:p>
              </w:tc>
            </w:tr>
            <w:t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Tax by jurisdiction: Peru 29.5%, Colombia 35% (weighted 28.3% vs 27%)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1,807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−52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2,036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−42.7%</w:t>
                  </w:r>
                </w:p>
              </w:tc>
            </w:tr>
            <w:t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D&amp;A at the 1H26 run-rate (0.88% vs 0.704% of revenue)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1,861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+2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2,079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−41.5%</w:t>
                  </w:r>
                </w:p>
              </w:tc>
            </w:tr>
            <w:t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Gran Plaza included: USD 376m at a 9.4% cap rate (order of magnitude)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1,848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−11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2,069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−41.8%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Bear and bull: every lever at the historical minimum/maximum of the Risks tornado (4Q23 and 3Q25 earnings releases for margin; Note 11 for long-run real growth) in all years; the bull does not recompute the WACC tax shield. Section D: each year's rate scaled by the EBITDA mix by country (Chile ~70%, Peru ~20%, Colombia ~10%; PwC Tax Summaries, Peru reviewed 13-Jul-26, Colombia 21-Jul-26); Gran Plaza at our implied cap rate (10.1%) − price paid, applying an EBITDA cap rate to an NOI. None changes the recommendation. Source: DCF v4 replica (escenarios_dcf.py); model v4, APV, Sensibilidad (table 2, static) and DCF sheets; Figuras_Valuacion, WACC_Construccion and V6.</w:t>
      </w:r>
    </w:p>
    <w:p>
      <w:pPr>
        <w:pageBreakBefore/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[Z]: WACC CONSTRUCTION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The WACC is computed per period: D/E converges linearly from the current structure (20.0%) to the target (28.5%, net debt/EBITDA 3.5x) in 2031. The cost of equity is built in dollars (US Treasury Rf + re-levered beta × ERP + revenue-weighted CRP) and converted to pesos with the inflation differential.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βL = βU × [1 + (1 − t) × D/E]  (Hamada)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USD = Rf + βL × ERP + weighted CRP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CLP = (1 + Ke USD) × (1 + π Chile) / (1 + π US)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Kd CLP = (1 + real Kd + spread) × (1 + π Chile)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WACC = E/V × Ke CLP + D/V × Kd CLP × (1 − t)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MARKET AND CAPITAL STRUCTURE ASSUMPTIONS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2400"/>
        <w:gridCol w:w="3466"/>
      </w:tblGrid>
      <w:tr>
        <w:trPr>
          <w:tblHeader/>
        </w:trP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Assumption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Value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Source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Rf: 10Y US Treasury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4.98%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Equity risk premium (ERP)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4.14%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Damodaran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Long-term inflation,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Central Bank target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Long-term inflation, US (10Y breakeven)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2.24%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Bloomberg, Jun-26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Chilean tax rate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Income Tax Law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Kd: latest UF bond coupon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Mallplaza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Kd increase per turn of net debt/EBITDA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0.25%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Team assumption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Net debt/EBITDA initial (30-Jun-26) → target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2.36x → 3.5x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2Q26 release; team assumption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Gross debt / market cap (current structure, CLP MM)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1,579 / 7,906 (thousands)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B. BETA: UNLEVERED PEERS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66"/>
        <w:gridCol w:w="1400"/>
        <w:gridCol w:w="1900"/>
        <w:gridCol w:w="2100"/>
        <w:gridCol w:w="1100"/>
        <w:gridCol w:w="1400"/>
      </w:tblGrid>
      <w:tr>
        <w:trPr>
          <w:tblHeader/>
        </w:trPr>
        <w:tc>
          <w:tcPr>
            <w:tcW w:type="dxa" w:w="27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Company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Levered β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Debt (CLP MM)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 (CLP MM)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Tax rate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Unlevered β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1.250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1,700,507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3,828,031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1.075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762,154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3,942,858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0.942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1.164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960,191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2,712,166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0.908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647,397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1,421,560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0.698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0.427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625,047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1,218,777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0.320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1.219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191,478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2,959,845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1.169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Median (6 peers included)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0.9428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Source: Bloomberg (betas), Tasa_WACC. Costa Verde is excluded because it is not in the comparables set.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C. REVENUE-WEIGHTED COUNTRY RISK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6"/>
        <w:gridCol w:w="2700"/>
        <w:gridCol w:w="2400"/>
        <w:gridCol w:w="2400"/>
      </w:tblGrid>
      <w:tr>
        <w:trPr>
          <w:tblHeader/>
        </w:trPr>
        <w:tc>
          <w:tcPr>
            <w:tcW w:type="dxa" w:w="3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Country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Weight (LTM revenue)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CRP (Damodaran)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Contribution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71.8%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1.04%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0.75%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Peru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17.7%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0.27%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0.39%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Weighted CRP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100.0%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1.41%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D. WACC BY PERIOD (Figure Z1)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2H26E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Net debt/EBITDA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2.46x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2.67x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2.88x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3.09x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3.29x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3.50x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3.50x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23.9%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25.4%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28.5%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28.5%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17.2%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18.2%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19.3%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20.3%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21.2%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22.2%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22.2%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Re-levered beta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1.086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1.096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1.118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1.128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1.139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1.139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USD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10.93%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10.97%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11.02%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11.06%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11.10%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11.10%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Ke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11.93%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11.93%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Kd (UF) incl. spread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3.89%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3.89%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Kd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6.89%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6.95%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After-tax Kd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5.03%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5.07%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5.11%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5.11%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Nominal WACC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WACC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7.32%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7.20%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4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Z1: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Nominal WACC and D/E by period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Control: the replica matches the WACC sheet of model v4 (0 bp difference in every period). Source: Damodaran; Bloomberg; Central Bank of Chile; Team analysis.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E. CHOICE OF THE RISK-FREE RATE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725"/>
              <w:gridCol w:w="1500"/>
            </w:tblGrid>
            <w:tr>
              <w:trPr>
                <w:tblHeader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Alternative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Model base: US Rf + Chile CRP, in CLP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6.80%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10Y peso bond, Central Bank (30-Jun-26)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5.43%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Difference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137 bp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Effect on terminal WACC (difference × E/V)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−107 bp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DCF value using the peso bond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2,323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80/20 target price in that case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2,449</w:t>
                  </w:r>
                </w:p>
              </w:tc>
            </w:tr>
          </w:tbl>
          <w:p>
            <w:pPr>
              <w:spacing w:after="0" w:before="8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Why UST + CRP and not the peso bond: the local bond already embeds Chile risk, so adding the CRP would double-count it; also, 28% of revenue comes from Peru and Colombia, whose risk enters through the weighted CRP.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It is the more conservative choice: with the peso bond the target price rises to ~CLP 2,449, still 31% below the CLP 3,555 share price. The recommendation does not change.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Source: Central Bank of Chile, Informativo Diario 2-Jul-26; DCF v4 replica with the WACC shifted in every period.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3bc3e202329b8acab87794da37936849d24fb14.png"/><Relationship Id="rId10" Type="http://schemas.openxmlformats.org/officeDocument/2006/relationships/image" Target="media/1987ead589840fa585f367b9fb74310fee03f7d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2026-10-19T19:03:33.840Z</dcterms:created>
  <dcterms:modified xsi:type="dcterms:W3CDTF">2026-10-19T19:03:33.840Z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