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before="0"/>
      </w:pPr>
      <w:r>
        <w:rPr>
          <w:rFonts w:ascii="Arial" w:cs="Arial" w:eastAsia="Arial" w:hAnsi="Arial"/>
          <w:b/>
          <w:bCs/>
          <w:color w:val="14284B"/>
          <w:sz w:val="30"/>
          <w:szCs w:val="30"/>
        </w:rPr>
        <w:t xml:space="preserve">VALUACIÓN</w:t>
      </w:r>
    </w:p>
    <w:p>
      <w:pPr>
        <w:shd w:fill="EEF1F6" w:color="auto" w:val="clear"/>
        <w:spacing w:after="80" w:line="228" w:lineRule="auto"/>
        <w:jc w:val="both"/>
      </w:pPr>
      <w:r>
        <w:rPr>
          <w:rFonts w:ascii="Arial" w:cs="Arial" w:eastAsia="Arial" w:hAnsi="Arial"/>
          <w:color w:val="1A1A1A"/>
          <w:sz w:val="16"/>
          <w:szCs w:val="16"/>
        </w:rPr>
        <w:t xml:space="preserve">Recomendamos VENDER Mallplaza con un precio objetivo de CLP 2.077 por acción, 41,6% bajo el cierre de CLP 3.555 del 30-sep-26 (−39,6% de retorno total con dividendos). Nuestro precio objetivo queda incluso bajo el mínimo de las últimas 52 semanas (CLP 2.470).</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UN PRECIO QUE NINGUNO DE NUESTROS MÉTODOS ALCANZA</w:t>
            </w:r>
          </w:p>
          <w:p>
            <w:pPr>
              <w:spacing w:after="60" w:before="0" w:line="228" w:lineRule="auto"/>
              <w:jc w:val="both"/>
            </w:pPr>
            <w:r>
              <w:rPr>
                <w:rFonts w:ascii="Arial" w:cs="Arial" w:eastAsia="Arial" w:hAnsi="Arial"/>
                <w:color w:val="1A1A1A"/>
                <w:sz w:val="16"/>
                <w:szCs w:val="16"/>
              </w:rPr>
              <w:t xml:space="preserve">En doce meses la acción subió de CLP 2.470 a 4.700 y hoy cotiza en CLP 3.555. Ninguno de nuestros métodos llega a ese precio: el DCF va de CLP 1.391 a 2.329 aun moviendo la WACC nominal ±100 pb y el g nominal entre 2,5% y 4,0%, y las medianas de múltiplos tampoco lo alcanzan (Figura 27). Damos 80% del peso al DCF porque el valor de Mallplaza proviene de flujos contractuales: el 81,4% de sus ingresos son arriendos y el 93% de ellos es renta fija. El 20% en múltiplos contrasta el modelo con lo que el mercado paga hoy, pero con cautela: en Chile hay solo dos pares directos y ninguno captura el plan de expansión ni la trayectoria de deuda de la compañía.</w:t>
            </w:r>
          </w:p>
          <w:p>
            <w:pPr>
              <w:spacing w:after="60" w:before="0" w:line="228" w:lineRule="auto"/>
              <w:jc w:val="both"/>
            </w:pPr>
            <w:r>
              <w:rPr>
                <w:rFonts w:ascii="Arial" w:cs="Arial" w:eastAsia="Arial" w:hAnsi="Arial"/>
                <w:color w:val="1A1A1A"/>
                <w:sz w:val="16"/>
                <w:szCs w:val="16"/>
              </w:rPr>
              <w:t xml:space="preserve">El APV, que valora la empresa sin deuda y suma aparte los escudos fiscales, da CLP 1.895, apenas 2% sobre el DCF: el resultado no depende de cómo modelamos el financiamiento. Los múltiplos van de CLP 2.152 (mediana del set común) a 3.294 (mediana chilena), y el EV/EBITDA NTM y el EV/EBIT quedan entre CLP 2.914 y 3.098. Todo cae a la izquierda del precio; solo lo alcanzan el propio rango de cotización del último año y, entre los múltiplos individuales, el de Parque Arauco, que no usamos solo (más abajo). Incluso la mediana chilena de múltiplos, el escenario más favorable para la acción, queda 7% bajo el precio.</w:t>
            </w:r>
          </w:p>
          <w:p>
            <w:pPr>
              <w:pBdr>
                <w:bottom w:val="single" w:color="E9004B" w:sz="8" w:space="1"/>
              </w:pBdr>
              <w:spacing w:after="50" w:before="90"/>
            </w:pPr>
            <w:r>
              <w:rPr>
                <w:rFonts w:ascii="Arial" w:cs="Arial" w:eastAsia="Arial" w:hAnsi="Arial"/>
                <w:b/>
                <w:bCs/>
                <w:color w:val="14284B"/>
                <w:sz w:val="16"/>
                <w:szCs w:val="16"/>
              </w:rPr>
              <w:t xml:space="preserve">LA HISTORIA ESTÁ EN LA TASA</w:t>
            </w:r>
          </w:p>
          <w:p>
            <w:pPr>
              <w:spacing w:after="60" w:before="0" w:line="228" w:lineRule="auto"/>
              <w:jc w:val="both"/>
            </w:pPr>
            <w:r>
              <w:rPr>
                <w:rFonts w:ascii="Arial" w:cs="Arial" w:eastAsia="Arial" w:hAnsi="Arial"/>
                <w:color w:val="1A1A1A"/>
                <w:sz w:val="16"/>
                <w:szCs w:val="16"/>
              </w:rPr>
              <w:t xml:space="preserve">Proyectamos el flujo de caja libre de la firma (FCFF) en CLP nominales desde el 30-jun-26, con horizonte explícito hasta 2031E y un valor terminal que explica el 78% del EV (Anexo 15). Los CLP 1.859 por acción son CLP 543 de flujos explícitos y CLP 1.926 de valor terminal, menos CLP 610 de deuda neta y minoritarios: el resultado depende, sobre todo, de la tasa de descuento.</w:t>
            </w:r>
          </w:p>
          <w:p>
            <w:pPr>
              <w:spacing w:after="60" w:before="0" w:line="228" w:lineRule="auto"/>
              <w:jc w:val="both"/>
            </w:pPr>
            <w:r>
              <w:rPr>
                <w:rFonts w:ascii="Arial" w:cs="Arial" w:eastAsia="Arial" w:hAnsi="Arial"/>
                <w:color w:val="1A1A1A"/>
                <w:sz w:val="16"/>
                <w:szCs w:val="16"/>
              </w:rPr>
              <w:t xml:space="preserve">Esa tasa se mueve con la estructura de capital. Mallplaza usa su capacidad de deuda para crecer, como en 2024 tras comprar Open Plaza Perú (3,78x): suponemos que la DFN/EBITDA sube de 2,36x a 3,5x en 2031, con 25 pb más de costo real por cada vuelta, y que la deuda nueva (CLP 1,46 billones) financia todo el capex mientras la caja operativa se distribuye a los accionistas. Así, la WACC nominal pasa de 10,54% en 2S26E a 10,41% en el terminal (7,32% y 7,20% reales): un Ke nominal de 11,93% (8,67% real; Rf de 4,98% en USD, beta re-apalancada de 1,14 desde una mediana desapalancada de seis pares de 0,94, ERP 4,14% y CRP de 1,41% ponderado por ingresos) y un Kd nominal de 5,11% después de impuestos, basado en el cupón real de 3,6% (UF) de la última emisión (Anexo 19).</w:t>
            </w:r>
          </w:p>
          <w:p>
            <w:pPr>
              <w:spacing w:after="60" w:before="0" w:line="228" w:lineRule="auto"/>
              <w:jc w:val="both"/>
            </w:pPr>
            <w:r>
              <w:rPr>
                <w:rFonts w:ascii="Arial" w:cs="Arial" w:eastAsia="Arial" w:hAnsi="Arial"/>
                <w:color w:val="1A1A1A"/>
                <w:sz w:val="16"/>
                <w:szCs w:val="16"/>
              </w:rPr>
              <w:t xml:space="preserve">Construimos el Ke en dólares porque sus tres insumos están en esa moneda y son nominales: la Rf del Tesoro de EE.UU., la prima por riesgo de mercado implícita que publica Damodaran y el riesgo país, que ponderamos por ingresos. Luego lo llevamos a pesos con el diferencial entre la inflación esperada de Chile (3,0%, meta del BCCh) y la de EE.UU. (2,24%, breakeven a 10 años). La beta se desapalanca con Hamada (seis pares regionales) y se re-apalanca cada período (1,09 en 2S26E, 1,14 en el terminal).</w:t>
            </w:r>
          </w:p>
          <w:p>
            <w:pPr>
              <w:spacing w:after="60" w:before="0" w:line="228" w:lineRule="auto"/>
              <w:jc w:val="both"/>
            </w:pPr>
            <w:r>
              <w:rPr>
                <w:rFonts w:ascii="Arial" w:cs="Arial" w:eastAsia="Arial" w:hAnsi="Arial"/>
                <w:color w:val="1A1A1A"/>
                <w:sz w:val="16"/>
                <w:szCs w:val="16"/>
              </w:rPr>
              <w:t xml:space="preserve">La primera señal es la TIR del activo (la firma): la tasa única que iguala el FCFF y el valor terminal al valor de empresa que paga el mercado a CLP 3.555 (EV de CLP 9,12 billones). Es 7,61% nominal (4,48% real en UF), 280 pb bajo la WACC nominal (272 pb en términos reales) y apenas ~88 pb reales sobre el costo real de su deuda (Figura 28).</w:t>
            </w:r>
          </w:p>
          <w:p>
            <w:pPr>
              <w:keepNext/>
              <w:spacing w:after="30" w:before="40" w:line="228" w:lineRule="auto"/>
            </w:pPr>
            <w:r>
              <w:rPr>
                <w:rFonts w:ascii="Arial" w:cs="Arial" w:eastAsia="Arial" w:hAnsi="Arial"/>
                <w:b/>
                <w:bCs/>
                <w:color w:val="14284B"/>
                <w:sz w:val="14"/>
                <w:szCs w:val="14"/>
              </w:rPr>
              <w:t xml:space="preserve">TIR del activo (firma) y del proyecto nuevo frente a la WACC: nominal CLP y real (UF)</w:t>
            </w:r>
          </w:p>
          <w:tbl>
            <w:tblPr>
              <w:tblW w:type="dxa" w:w="6900"/>
              <w:tblBorders>
                <w:top w:val="none" w:color="FFFFFF" w:sz="0"/>
                <w:left w:val="none" w:color="FFFFFF" w:sz="0"/>
                <w:bottom w:val="none" w:color="FFFFFF" w:sz="0"/>
                <w:right w:val="none" w:color="FFFFFF" w:sz="0"/>
                <w:insideH w:val="none" w:color="FFFFFF" w:sz="0"/>
                <w:insideV w:val="none" w:color="FFFFFF" w:sz="0"/>
              </w:tblBorders>
            </w:tblPr>
            <w:tblGrid>
              <w:gridCol w:w="2300"/>
              <w:gridCol w:w="740"/>
              <w:gridCol w:w="640"/>
              <w:gridCol w:w="1800"/>
              <w:gridCol w:w="1420"/>
            </w:tblGrid>
            <w:tr>
              <w:trPr>
                <w:tblHeader/>
              </w:trPr>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Compra al precio de</w:t>
                  </w:r>
                </w:p>
              </w:tc>
              <w:tc>
                <w:tcPr>
                  <w:tcW w:type="dxa" w:w="7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Nominal</w:t>
                  </w:r>
                </w:p>
              </w:tc>
              <w:tc>
                <w:tcPr>
                  <w:tcW w:type="dxa" w:w="6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Real</w:t>
                  </w:r>
                </w:p>
              </w:tc>
              <w:tc>
                <w:tcPr>
                  <w:tcW w:type="dxa" w:w="1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WACC nom./real</w:t>
                  </w:r>
                </w:p>
              </w:tc>
              <w:tc>
                <w:tcPr>
                  <w:tcW w:type="dxa" w:w="14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Brecha nom./real</w:t>
                  </w:r>
                </w:p>
              </w:tc>
            </w:tr>
            <w:tr>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Mercado: CLP 3.555</w:t>
                  </w:r>
                </w:p>
              </w:tc>
              <w:tc>
                <w:tcPr>
                  <w:tcW w:type="dxa" w:w="7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7,61%</w:t>
                  </w:r>
                </w:p>
              </w:tc>
              <w:tc>
                <w:tcPr>
                  <w:tcW w:type="dxa" w:w="6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4,48%</w:t>
                  </w:r>
                </w:p>
              </w:tc>
              <w:tc>
                <w:tcPr>
                  <w:tcW w:type="dxa" w:w="1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 / 7,20%</w:t>
                  </w:r>
                </w:p>
              </w:tc>
              <w:tc>
                <w:tcPr>
                  <w:tcW w:type="dxa" w:w="14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−280 / −272 pb</w:t>
                  </w:r>
                </w:p>
              </w:tc>
            </w:tr>
            <w:tr>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Nuestro objetivo: CLP 2.077</w:t>
                  </w:r>
                </w:p>
              </w:tc>
              <w:tc>
                <w:tcPr>
                  <w:tcW w:type="dxa" w:w="7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9,88%</w:t>
                  </w:r>
                </w:p>
              </w:tc>
              <w:tc>
                <w:tcPr>
                  <w:tcW w:type="dxa" w:w="6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6,68%</w:t>
                  </w:r>
                </w:p>
              </w:tc>
              <w:tc>
                <w:tcPr>
                  <w:tcW w:type="dxa" w:w="1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 / 7,20%</w:t>
                  </w:r>
                </w:p>
              </w:tc>
              <w:tc>
                <w:tcPr>
                  <w:tcW w:type="dxa" w:w="14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−53 / −51 pb</w:t>
                  </w:r>
                </w:p>
              </w:tc>
            </w:tr>
            <w:tr>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Nuestro DCF: CLP 1.859</w:t>
                  </w:r>
                </w:p>
              </w:tc>
              <w:tc>
                <w:tcPr>
                  <w:tcW w:type="dxa" w:w="7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10,43%</w:t>
                  </w:r>
                </w:p>
              </w:tc>
              <w:tc>
                <w:tcPr>
                  <w:tcW w:type="dxa" w:w="6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7,21%</w:t>
                  </w:r>
                </w:p>
              </w:tc>
              <w:tc>
                <w:tcPr>
                  <w:tcW w:type="dxa" w:w="1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 / 7,20%</w:t>
                  </w:r>
                </w:p>
              </w:tc>
              <w:tc>
                <w:tcPr>
                  <w:tcW w:type="dxa" w:w="14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 / +2 pb</w:t>
                  </w:r>
                </w:p>
              </w:tc>
            </w:tr>
            <w:tr>
              <w:tc>
                <w:tcPr>
                  <w:tcW w:type="dxa" w:w="23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Proyecto nuevo: 1 m² (cohorte)</w:t>
                  </w:r>
                </w:p>
              </w:tc>
              <w:tc>
                <w:tcPr>
                  <w:tcW w:type="dxa" w:w="7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7,98%</w:t>
                  </w:r>
                </w:p>
              </w:tc>
              <w:tc>
                <w:tcPr>
                  <w:tcW w:type="dxa" w:w="6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4,84%</w:t>
                  </w:r>
                </w:p>
              </w:tc>
              <w:tc>
                <w:tcPr>
                  <w:tcW w:type="dxa" w:w="1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10,41% / 7,20%</w:t>
                  </w:r>
                </w:p>
              </w:tc>
              <w:tc>
                <w:tcPr>
                  <w:tcW w:type="dxa" w:w="142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−243 / −236 pb</w:t>
                  </w:r>
                </w:p>
              </w:tc>
            </w:tr>
          </w:tbl>
          <w:p>
            <w:pPr>
              <w:spacing w:after="60" w:before="20" w:line="216" w:lineRule="auto"/>
              <w:jc w:val="both"/>
            </w:pPr>
            <w:r>
              <w:rPr>
                <w:rFonts w:ascii="Arial" w:cs="Arial" w:eastAsia="Arial" w:hAnsi="Arial"/>
                <w:color w:val="5F5F5F"/>
                <w:sz w:val="11"/>
                <w:szCs w:val="11"/>
              </w:rPr>
              <w:t xml:space="preserve">TIR del activo: tasa única que iguala el FCFF y el valor terminal al valor de empresa pagado; al valor DCF coincide con la WACC. Proyecto nuevo: flujo de 1 m² con el costo, la rampa y el margen de la expansión, mantención y capital de trabajo. Real = (1 + nom.) / (1 + 3,0%) − 1. La WACC implícita de la Figura 34 (7,60%) desplaza toda la curva de WACC y la TIR de tasa única es 7,61%: dos lecturas de la misma idea. Fuente: modelo v4, hojas TIR_Implicita y TIR_Proyecto.</w:t>
            </w:r>
          </w:p>
          <w:p>
            <w:pPr>
              <w:pBdr>
                <w:bottom w:val="single" w:color="E9004B" w:sz="8" w:space="1"/>
              </w:pBdr>
              <w:spacing w:after="50" w:before="90"/>
            </w:pPr>
            <w:r>
              <w:rPr>
                <w:rFonts w:ascii="Arial" w:cs="Arial" w:eastAsia="Arial" w:hAnsi="Arial"/>
                <w:b/>
                <w:bCs/>
                <w:color w:val="14284B"/>
                <w:sz w:val="16"/>
                <w:szCs w:val="16"/>
              </w:rPr>
              <w:t xml:space="preserve">CRECER NO RESCATA EL PRECIO</w:t>
            </w:r>
          </w:p>
          <w:p>
            <w:pPr>
              <w:spacing w:after="60" w:before="0" w:line="228" w:lineRule="auto"/>
              <w:jc w:val="both"/>
            </w:pPr>
            <w:r>
              <w:rPr>
                <w:rFonts w:ascii="Arial" w:cs="Arial" w:eastAsia="Arial" w:hAnsi="Arial"/>
                <w:color w:val="1A1A1A"/>
                <w:sz w:val="16"/>
                <w:szCs w:val="16"/>
              </w:rPr>
              <w:t xml:space="preserve">No es que seamos pesimistas con la operación. Proyectamos un margen EBITDA de 79,7% en 2026E (sin revalorizaciones, bajo el 80,5% UDM), un impuesto en caja que converge de 16,8% a 27% en 2030, el pipeline completo con fecha de la compañía (170.200 m² y USD 613 MM, incluidos 46.500 m² de «otros proyectos» en Chile que abren en 2028) y, desde 2029, 27.075 m² nuevos al año, el ritmo orgánico histórico. El consenso BEst de 13 analistas espera un EBITDA a 12 meses apenas ~3% sobre el nuestro: la diferencia con el mercado no está en los flujos.</w:t>
            </w:r>
          </w:p>
          <w:p>
            <w:pPr>
              <w:spacing w:after="60" w:before="0" w:line="228" w:lineRule="auto"/>
              <w:jc w:val="both"/>
            </w:pPr>
            <w:r>
              <w:rPr>
                <w:rFonts w:ascii="Arial" w:cs="Arial" w:eastAsia="Arial" w:hAnsi="Arial"/>
                <w:color w:val="1A1A1A"/>
                <w:sz w:val="16"/>
                <w:szCs w:val="16"/>
              </w:rPr>
              <w:t xml:space="preserve">El capex sigue el plan de la compañía y se separa en mantención y TI (5,5% de los ingresos, CLP 42–53 mil MM al año) y capex incremental: el pipeline en curso (CLP 534 mil MM en 2S26E–2028E) y la expansión continua (CLP 95–104 mil MM al año desde 2028, a USD 3.603 por m² y con una rampa de ingresos de 35%, 90% y 100%). El capex total llega a un máximo de CLP 336 mil MM en 2027E y se estabiliza cerca de 16% de los ingresos desde 2029E (Figura F7). El capital de trabajo (15,6% de los ingresos) exige CLP 7,3–9,9 mil MM al año y, si fuera cero, el objetivo subiría solo 1,3% (Figura 29: cascada de supuestos fuertes, distinta del escenario bull; Anexo 16).</w:t>
            </w:r>
          </w:p>
          <w:p>
            <w:pPr>
              <w:spacing w:after="60" w:before="0" w:line="228" w:lineRule="auto"/>
              <w:jc w:val="both"/>
            </w:pPr>
            <w:r>
              <w:rPr>
                <w:rFonts w:ascii="Arial" w:cs="Arial" w:eastAsia="Arial" w:hAnsi="Arial"/>
                <w:color w:val="1A1A1A"/>
                <w:sz w:val="16"/>
                <w:szCs w:val="16"/>
              </w:rPr>
              <w:t xml:space="preserve">Dos supuestos merecen una explicación. La tasa de impuesto en caja parte en 16,8% porque hoy la compañía usa goodwill tributario y pérdidas acumuladas; suponemos que esos escudos se agotan y que la tasa llega a 27% en 2030. Es ahorro de caja real (baja el impuesto corriente), no contable: CLP 62 por acción sin descontar; sin él el objetivo baja 2,1% (Figura 29). Y el capital de trabajo crece con los ingresos, no con los m² nuevos.</w:t>
            </w:r>
          </w:p>
          <w:p>
            <w:pPr>
              <w:spacing w:after="60" w:before="0" w:line="228" w:lineRule="auto"/>
              <w:jc w:val="both"/>
            </w:pPr>
            <w:r>
              <w:rPr>
                <w:rFonts w:ascii="Arial" w:cs="Arial" w:eastAsia="Arial" w:hAnsi="Arial"/>
                <w:color w:val="1A1A1A"/>
                <w:sz w:val="16"/>
                <w:szCs w:val="16"/>
              </w:rPr>
              <w:t xml:space="preserve">Precio y ventas. En un operador de arriendos el precio es el arriendo por m², y las ventas de los locatarios llegan al ingreso solo por la renta variable (5,7% de los ingresos UDM). Por eso 1 pp más de crecimiento nominal del arriendo en mismas tiendas en 2027–28 agrega CLP 45 al valor DCF por acción, 18 veces lo que agrega 1 pp más de crecimiento de las ventas de los locatarios (CLP 2,6); 1 pp más de crecimiento real del arriendo en 2029–31 agrega CLP 57. Una mejora de precios puede traducirse en mayores ventas y renta variable cuando la ocupación y el tráfico la sostienen, así que en el escenario bull movemos ambas palancas a la vez (arriendo +9,4%, ventas +9,9%): aun así el precio objetivo queda 18% bajo el precio.</w:t>
            </w:r>
          </w:p>
          <w:p>
            <w:pPr>
              <w:spacing w:after="60" w:before="0" w:line="228" w:lineRule="auto"/>
              <w:jc w:val="both"/>
            </w:pPr>
            <w:r>
              <w:rPr>
                <w:rFonts w:ascii="Arial" w:cs="Arial" w:eastAsia="Arial" w:hAnsi="Arial"/>
                <w:color w:val="1A1A1A"/>
                <w:sz w:val="16"/>
                <w:szCs w:val="16"/>
              </w:rPr>
              <w:t xml:space="preserve">El problema es el retorno de crecer. Cada m² nuevo rinde 7,3% real antes de impuestos sobre su costo (mix de la expansión: 67% Chile, 33% Perú), un RONIC real de 5,3% después de impuestos, bajo una WACC real de 7,2%. La TIR de un m² nuevo, con capex, rampa, mantención y capital de trabajo, es 4,84% real (7,98% nominal): 236 pb bajo la WACC real y 243 pb bajo la nominal; para igualarla, el ingreso por m² tendría que ser 1,54 veces el del modelo. La expansión suma ingresos, pero no valor: por eso el valor terminal crece solo con la inflación (g de 3,0% nominal, 0% real) y un g mayor reduce el valor (Figura 30). Suponer más crecimiento no cerraría la brecha con el precio; la agrandaría. Por eso el horizonte explícito incluye el capex y la maduración de los proyectos que abren hasta 2032 (108.301 m² maduran en el año terminal), pero desde ahí el capex incremental terminal es cero y solo queda la mantención.</w:t>
            </w:r>
          </w:p>
          <w:p>
            <w:pPr>
              <w:pBdr>
                <w:bottom w:val="single" w:color="E9004B" w:sz="8" w:space="1"/>
              </w:pBdr>
              <w:spacing w:after="50" w:before="90"/>
            </w:pPr>
            <w:r>
              <w:rPr>
                <w:rFonts w:ascii="Arial" w:cs="Arial" w:eastAsia="Arial" w:hAnsi="Arial"/>
                <w:b/>
                <w:bCs/>
                <w:color w:val="14284B"/>
                <w:sz w:val="16"/>
                <w:szCs w:val="16"/>
              </w:rPr>
              <w:t xml:space="preserve">¿POR QUÉ EXPANDIRSE SI NO CREA VALOR?</w:t>
            </w:r>
          </w:p>
          <w:p>
            <w:pPr>
              <w:spacing w:after="60" w:before="0" w:line="228" w:lineRule="auto"/>
              <w:jc w:val="both"/>
            </w:pPr>
            <w:r>
              <w:rPr>
                <w:rFonts w:ascii="Arial" w:cs="Arial" w:eastAsia="Arial" w:hAnsi="Arial"/>
                <w:color w:val="1A1A1A"/>
                <w:sz w:val="16"/>
                <w:szCs w:val="16"/>
              </w:rPr>
              <w:t xml:space="preserve">Si crecer rinde menos que el costo de capital, ¿qué empuja a la administración a seguir? Planteamos cuatro hipótesis, por verificar con la memoria y los EEFF. Primero, contabilidad frente a economía: la deuda en UF (79% del total) cuesta ~3,6% real, bajo lo que rinde un activo nuevo, así que cada proyecto financiado con deuda mejora FFO, EBITDA y utilidad aunque no cubra el retorno exigido al capital total. Segundo, la revalorización: bajo NIC 40 las tasaciones usan tasas de descuento reales de 5,5–6,4%, menores que la WACC real, y cada activo nuevo se tasa sobre su costo y genera utilidad contable. Tercero, el controlador: si el grupo (Falabella, por confirmar) tiene tiendas ancla u otros negocios en esos malls, un m² nuevo le sirve al grupo aunque a Plaza le rinda poco, un conflicto de agencia con los minoritarios (por verificar en las notas de partes relacionadas). Cuarto, la compensación: si los bonos dependen del GLA o del EBITDA y no del ROIC, expandirse es racional para la gerencia (por verificar). Hay razones estratégicas defendibles (suelo escaso, ventajas de red); es un riesgo de asignación de capital, no una contradicción con un buen negocio. El punto de equilibrio de la expansión es una WACC real de 5,3% (8,5% nominal); la WACC implícita en el precio (7,60% nominal, 4,5% real) queda bajo ese nivel: si el mercado tuviera razón, expandir crearía valor.</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27: </w:t>
            </w:r>
            <w:r>
              <w:rPr>
                <w:rFonts w:ascii="Arial" w:cs="Arial" w:eastAsia="Arial" w:hAnsi="Arial"/>
                <w:color w:val="14284B"/>
                <w:sz w:val="14"/>
                <w:szCs w:val="14"/>
              </w:rPr>
              <w:t xml:space="preserve">Ninguno de nuestros métodos justifica el precio actual (CLP por acción)</w:t>
            </w:r>
          </w:p>
          <w:p>
            <w:pPr>
              <w:spacing w:after="20" w:before="0" w:line="240" w:lineRule="auto"/>
            </w:pPr>
            <w:r>
              <w:drawing>
                <wp:inline distT="0" distB="0" distL="0" distR="0">
                  <wp:extent cx="22574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16954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Rango de 52 semanas intradía (01-10-25 a 30-09-26; mínimo 10-10-25, máximo 27-04-26). Fuente: análisis del equipo; Bloomberg.</w:t>
            </w:r>
          </w:p>
          <w:p>
            <w:pPr>
              <w:spacing w:after="30" w:before="90" w:line="228" w:lineRule="auto"/>
            </w:pPr>
            <w:r>
              <w:rPr>
                <w:rFonts w:ascii="Arial" w:cs="Arial" w:eastAsia="Arial" w:hAnsi="Arial"/>
                <w:b/>
                <w:bCs/>
                <w:color w:val="14284B"/>
                <w:sz w:val="14"/>
                <w:szCs w:val="14"/>
              </w:rPr>
              <w:t xml:space="preserve">Figura 28: </w:t>
            </w:r>
            <w:r>
              <w:rPr>
                <w:rFonts w:ascii="Arial" w:cs="Arial" w:eastAsia="Arial" w:hAnsi="Arial"/>
                <w:color w:val="14284B"/>
                <w:sz w:val="14"/>
                <w:szCs w:val="14"/>
              </w:rPr>
              <w:t xml:space="preserve">A CLP 3.555 la firma rinde casi lo mismo que su deuda (tasas reales, UF)</w:t>
            </w:r>
          </w:p>
          <w:p>
            <w:pPr>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15525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Tasas reales en UF. Fuente: BCCh (30-06-26); Mallplaza; análisis del equipo.</w:t>
            </w:r>
          </w:p>
          <w:p>
            <w:pPr>
              <w:spacing w:after="30" w:before="90" w:line="228" w:lineRule="auto"/>
            </w:pPr>
            <w:r>
              <w:rPr>
                <w:rFonts w:ascii="Arial" w:cs="Arial" w:eastAsia="Arial" w:hAnsi="Arial"/>
                <w:b/>
                <w:bCs/>
                <w:color w:val="14284B"/>
                <w:sz w:val="14"/>
                <w:szCs w:val="14"/>
              </w:rPr>
              <w:t xml:space="preserve">Figura 29: </w:t>
            </w:r>
            <w:r>
              <w:rPr>
                <w:rFonts w:ascii="Arial" w:cs="Arial" w:eastAsia="Arial" w:hAnsi="Arial"/>
                <w:color w:val="14284B"/>
                <w:sz w:val="14"/>
                <w:szCs w:val="14"/>
              </w:rPr>
              <w:t xml:space="preserve">Con todos los supuestos fuertes a favor el objetivo llega a CLP 2.977, aún 16% bajo el precio</w:t>
            </w:r>
          </w:p>
          <w:p>
            <w:pPr>
              <w:spacing w:after="20" w:before="0" w:line="240" w:lineRule="auto"/>
            </w:pPr>
            <w:r>
              <w:drawing>
                <wp:inline distT="0" distB="0" distL="0" distR="0">
                  <wp:extent cx="2257425"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210502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Cascada acumulada en el orden mostrado; la tabla da el efecto de cada supuesto solo. Precio objetivo = 80% DCF + 20% múltiplos. Fuente: réplica del DCF v4; análisis del equipo.</w:t>
            </w:r>
          </w:p>
          <w:p>
            <w:pPr>
              <w:spacing w:after="30" w:before="90" w:line="228" w:lineRule="auto"/>
            </w:pPr>
            <w:r>
              <w:rPr>
                <w:rFonts w:ascii="Arial" w:cs="Arial" w:eastAsia="Arial" w:hAnsi="Arial"/>
                <w:b/>
                <w:bCs/>
                <w:color w:val="14284B"/>
                <w:sz w:val="14"/>
                <w:szCs w:val="14"/>
              </w:rPr>
              <w:t xml:space="preserve">Figura 30: </w:t>
            </w:r>
            <w:r>
              <w:rPr>
                <w:rFonts w:ascii="Arial" w:cs="Arial" w:eastAsia="Arial" w:hAnsi="Arial"/>
                <w:color w:val="14284B"/>
                <w:sz w:val="14"/>
                <w:szCs w:val="14"/>
              </w:rPr>
              <w:t xml:space="preserve">Crecer bajo la WACC destruye valor: g real = 0%</w:t>
            </w:r>
          </w:p>
          <w:p>
            <w:pPr>
              <w:spacing w:after="20" w:before="0" w:line="240" w:lineRule="auto"/>
            </w:pPr>
            <w:r>
              <w:drawing>
                <wp:inline distT="0" distB="0" distL="0" distR="0">
                  <wp:extent cx="2257425"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4668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Arriba: valor DCF según g nominal. Abajo: valor terminal relativo según el RONIC. Fuente: análisis del equipo.</w:t>
            </w:r>
          </w:p>
        </w:tc>
      </w:tr>
    </w:tbl>
    <w:p>
      <w:pPr>
        <w:pageBreakBefor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LOS PARES CONFIRMAN LA DIRECCIÓN, NO LA MAGNITUD</w:t>
            </w:r>
          </w:p>
          <w:p>
            <w:pPr>
              <w:spacing w:after="60" w:before="0" w:line="228" w:lineRule="auto"/>
              <w:jc w:val="both"/>
            </w:pPr>
            <w:r>
              <w:rPr>
                <w:rFonts w:ascii="Arial" w:cs="Arial" w:eastAsia="Arial" w:hAnsi="Arial"/>
                <w:color w:val="1A1A1A"/>
                <w:sz w:val="16"/>
                <w:szCs w:val="16"/>
              </w:rPr>
              <w:t xml:space="preserve">Mallplaza transa a 16,8x EV/EBITDA, sobre la mediana chilena (15,7x) y muy por encima de los pares brasileños (9,0x). La brecha con Brasil no es de calidad, sino de tasas: con bonos reales locales de 2,5% en Chile y 8,1% en Brasil (NTN-B), el spread del cap rate (rendimiento EBITDA/EV; con rentas reajustadas por UF se compara con tasas reales) sobre la tasa local es parecido en ambos países, 385 pb en Chile y 302 pb en Brasil (Figura 31). Por eso ponderamos 70% la mediana chilena y 30% la del set común (que incluye IRSA; excluimos Fibra Danhos por su régimen FIBRA): 14,4x, que lleva a CLP 2.951 por acción. La ponderación pesa poco: entre 0% y 100% Chile, el precio objetivo solo va de CLP 1.916 a 2.144 (Anexo 17).</w:t>
            </w:r>
          </w:p>
          <w:p>
            <w:pPr>
              <w:spacing w:after="60" w:before="0" w:line="228" w:lineRule="auto"/>
              <w:jc w:val="both"/>
            </w:pPr>
            <w:r>
              <w:rPr>
                <w:rFonts w:ascii="Arial" w:cs="Arial" w:eastAsia="Arial" w:hAnsi="Arial"/>
                <w:color w:val="1A1A1A"/>
                <w:sz w:val="16"/>
                <w:szCs w:val="16"/>
              </w:rPr>
              <w:t xml:space="preserve">Elegimos el set con el criterio de la beta: IRSA con cautela (reporta bajo NIC 29; un solo analista en el NTM) y sin Fibra Danhos (FIBRA: reparte 95% del resultado fiscal; sin beta en la WACC). Usamos EV/EBITDA, neutral al apalancamiento y a la revalorización (NIC 40), con la deuda neta de Bloomberg (CLP 1.311.569 MM para Mallplaza; la diferencia con los CLP 1.285.740 MM del DCF son CLP 25.828 MM de arrendamientos NIIF 16).</w:t>
            </w:r>
          </w:p>
          <w:p>
            <w:pPr>
              <w:spacing w:after="60" w:before="0" w:line="228" w:lineRule="auto"/>
              <w:jc w:val="both"/>
            </w:pPr>
            <w:r>
              <w:rPr>
                <w:rFonts w:ascii="Arial" w:cs="Arial" w:eastAsia="Arial" w:hAnsi="Arial"/>
                <w:color w:val="1A1A1A"/>
                <w:sz w:val="16"/>
                <w:szCs w:val="16"/>
              </w:rPr>
              <w:t xml:space="preserve">Tampoco la calidad justifica la prima. Mallplaza transa 29% sobre Cenco Malls (Cencosud Shopping en los modelos), pero su EBITDA por m² es solo 1,8% mayor (ver Industria); solo al múltiplo de Parque Arauco (18,4x), que opera con 5,7x de deuda, valdría más que su precio. Todos los múltiplos, del EV/EBITDA NTM (CLP 2.914) al P/BV (CLP 3.171), quedan bajo el precio (Figura 32): confirman que la acción está cara, y la magnitud la da el DCF. Excluimos el P/E (CLP 8.644), distorsionado por la revalorización de propiedades. En precios: mediana chilena CLP 3.294 (−7%), Cenco Malls CLP 2.621 y solo Parque Arauco CLP 3.967. Defender CLP 3.555 con múltiplos exige suponer que Mallplaza merece la valoración del par más apalancado del grupo.</w:t>
            </w:r>
          </w:p>
          <w:p>
            <w:pPr>
              <w:pBdr>
                <w:bottom w:val="single" w:color="E9004B" w:sz="8" w:space="1"/>
              </w:pBdr>
              <w:spacing w:after="50" w:before="90"/>
            </w:pPr>
            <w:r>
              <w:rPr>
                <w:rFonts w:ascii="Arial" w:cs="Arial" w:eastAsia="Arial" w:hAnsi="Arial"/>
                <w:b/>
                <w:bCs/>
                <w:color w:val="14284B"/>
                <w:sz w:val="16"/>
                <w:szCs w:val="16"/>
              </w:rPr>
              <w:t xml:space="preserve">LO QUE EL MERCADO TENDRÍA QUE CREER</w:t>
            </w:r>
          </w:p>
          <w:p>
            <w:pPr>
              <w:spacing w:after="60" w:before="0" w:line="228" w:lineRule="auto"/>
              <w:jc w:val="both"/>
            </w:pPr>
            <w:r>
              <w:rPr>
                <w:rFonts w:ascii="Arial" w:cs="Arial" w:eastAsia="Arial" w:hAnsi="Arial"/>
                <w:color w:val="1A1A1A"/>
                <w:sz w:val="16"/>
                <w:szCs w:val="16"/>
              </w:rPr>
              <w:t xml:space="preserve">El precio implica un EV de CLP 9,12 billones, 69% sobre el nuestro, y un cap rate real de 6,0% (EBITDA UDM / EV, comparable con tasas reales porque las rentas se reajustan por UF), frente a 10,1% en nuestro DCF, 6,4% en los pares chilenos y 7,5% a valor libro (Figura 33). El mercado paga 1,61 veces un patrimonio que ya está a valor razonable, tasado con una tasa de descuento real de ~5,55% (Nota 11); la TIR real que deja el precio, 4,5%, queda bajo esa tasa: paga más que los propios tasadores. Para justificar CLP 3.555 la WACC nominal tendría que ser 281 pb menor (7,60%, 4,5% real; Figura 34); incluso con la tasa de los tasadores (5,55% real, 8,72% nominal), el DCF sería CLP 2.679. (La WACC implícita desplaza toda la curva de WACC; la TIR de tasa única, 7,61%, es la misma idea y también da CLP 3.555.)</w:t>
            </w:r>
          </w:p>
          <w:p>
            <w:pPr>
              <w:pBdr>
                <w:bottom w:val="single" w:color="E9004B" w:sz="8" w:space="1"/>
              </w:pBdr>
              <w:spacing w:after="50" w:before="90"/>
            </w:pPr>
            <w:r>
              <w:rPr>
                <w:rFonts w:ascii="Arial" w:cs="Arial" w:eastAsia="Arial" w:hAnsi="Arial"/>
                <w:b/>
                <w:bCs/>
                <w:color w:val="14284B"/>
                <w:sz w:val="16"/>
                <w:szCs w:val="16"/>
              </w:rPr>
              <w:t xml:space="preserve">POR QUÉ EL MERCADO PAGA CLP 3.555</w:t>
            </w:r>
          </w:p>
          <w:p>
            <w:pPr>
              <w:spacing w:after="60" w:before="0" w:line="228" w:lineRule="auto"/>
              <w:jc w:val="both"/>
            </w:pPr>
            <w:r>
              <w:rPr>
                <w:rFonts w:ascii="Arial" w:cs="Arial" w:eastAsia="Arial" w:hAnsi="Arial"/>
                <w:color w:val="1A1A1A"/>
                <w:sz w:val="16"/>
                <w:szCs w:val="16"/>
              </w:rPr>
              <w:t xml:space="preserve">En los últimos doce meses la acción pasó de un mínimo de CLP 2.470 (10-oct-25) a un máximo de CLP 4.700 (27-abr-26), un alza de ~90% en seis meses y medio que el negocio no explica: el EBITDA creció 5–10% anual. El impulso fue externo. La bolsa chilena subió 56% en 2025, con un cambio de gobierno y expectativas de menores impuestos, y las acciones de malls rindieron ~48% (LarrainVial) y se revalorizaron en conjunto. La inclusión en el MSCI EM Mid Cap (25-nov-25) obligó a fondos pasivos a comprar ~USD 110 MM, unas 15 veces el volumen diario (Morgan Stanley). Y los analistas extrapolaron crecimiento: JPMorgan proyecta un FFO que crece ~11% anual hasta 2028, el doble de nuestro ~6% (2026E–2028E). La caída a CLP 3.555 (−24% desde el máximo) coincide con resultados bajo lo esperado (EBITDA +5,2% en 1T26), el recorte del objetivo de JPMorgan y el alza del UST a 10 años (5,22% al 8-oct-26). Es una corrección parcial: a ese precio la acción cotiza 91% sobre el DCF, 33% sobre el valor con la tasa de los tasadores (CLP 2.679) y a 1,61x su valor libro. Las cifras atribuidas a analistas y los precios de los hitos provienen de los documentos del equipo (Figura R1).</w:t>
            </w:r>
          </w:p>
          <w:p>
            <w:pPr>
              <w:pBdr>
                <w:bottom w:val="single" w:color="E9004B" w:sz="8" w:space="1"/>
              </w:pBdr>
              <w:spacing w:after="50" w:before="90"/>
            </w:pPr>
            <w:r>
              <w:rPr>
                <w:rFonts w:ascii="Arial" w:cs="Arial" w:eastAsia="Arial" w:hAnsi="Arial"/>
                <w:b/>
                <w:bCs/>
                <w:color w:val="14284B"/>
                <w:sz w:val="16"/>
                <w:szCs w:val="16"/>
              </w:rPr>
              <w:t xml:space="preserve">NUESTRO VALOR FRENTE AL CONSENSO</w:t>
            </w:r>
          </w:p>
          <w:p>
            <w:pPr>
              <w:spacing w:after="60" w:before="0" w:line="228" w:lineRule="auto"/>
              <w:jc w:val="both"/>
            </w:pPr>
            <w:r>
              <w:rPr>
                <w:rFonts w:ascii="Arial" w:cs="Arial" w:eastAsia="Arial" w:hAnsi="Arial"/>
                <w:color w:val="1A1A1A"/>
                <w:sz w:val="16"/>
                <w:szCs w:val="16"/>
              </w:rPr>
              <w:t xml:space="preserve">Bloomberg muestra 14 fuentes con una recomendación promedio de 2,85 (escala de 1 a 5; 1 comprar, 10 mantener, 2 vender) y un precio objetivo a 12 meses de CLP 4.111, 49,5% sobre el nuestro; el más bajo es el de Goldman Sachs (vender, CLP 3.377) y el rango va de 3.377 a 4.600. Cuatro razones explican la brecha (Figura R3). La tasa es la principal: el precio exige una WACC nominal de 7,60%, 281 pb bajo nuestro 10,41%, y como el valor terminal es 78% del EV, cada punto de tasa pesa mucho. Los múltiplos tampoco llegan: el 20% en múltiplos da CLP 2.951, 17% bajo el precio, así que no todo es WACC. El horizonte también cuenta: los objetivos son a 12 meses y el nuestro es al 30-jun-26; a nuestro Ke nominal de 11,93%, CLP 4.111 equivalen a ~CLP 3.673 hoy, de modo que la brecha se reduce, pero no se cierra. Y el crecimiento: si crecer rinde menos que la WACC, nuestro modelo lo castiga, mientras el mercado probablemente lo valora con un retorno cercano al cap rate. Los objetivos siguieron al precio (la acción subió 39% en los 12 meses a septiembre de 2026) y no conocemos sus supuestos, solo sus objetivos.</w:t>
            </w:r>
          </w:p>
          <w:p>
            <w:pPr>
              <w:spacing w:after="60" w:before="0" w:line="228" w:lineRule="auto"/>
              <w:jc w:val="both"/>
            </w:pPr>
            <w:r>
              <w:rPr>
                <w:rFonts w:ascii="Arial" w:cs="Arial" w:eastAsia="Arial" w:hAnsi="Arial"/>
                <w:color w:val="1A1A1A"/>
                <w:sz w:val="16"/>
                <w:szCs w:val="16"/>
              </w:rPr>
              <w:t xml:space="preserve">El APV también aísla el valor de la deuda. De sus CLP 1.895 por acción, CLP 1.630 corresponden a la empresa sin deuda y CLP 265 a los escudos fiscales de la deuda proyectada: apalancarse hasta 3,5x agrega valor, pero ni sumándolo se acerca al precio. La elección de la tasa libre de riesgo es la conservadora: usar el bono nominal en pesos (5,43%) y además sumar el riesgo país contaría dos veces el riesgo Chile, y aun así el precio objetivo solo subiría a ~CLP 2.449, 31% bajo el precio. Con un dividendo esperado de ~CLP 69 por acción (2,0%), el retorno total esperado es −39,6%.</w:t>
            </w:r>
          </w:p>
          <w:p>
            <w:pPr>
              <w:spacing w:after="60" w:before="0" w:line="228" w:lineRule="auto"/>
              <w:jc w:val="both"/>
            </w:pPr>
            <w:r>
              <w:rPr>
                <w:rFonts w:ascii="Arial" w:cs="Arial" w:eastAsia="Arial" w:hAnsi="Arial"/>
                <w:color w:val="1A1A1A"/>
                <w:sz w:val="16"/>
                <w:szCs w:val="16"/>
              </w:rPr>
              <w:t xml:space="preserve">Así llegamos a CLP 2.077 (80% × 1.859 + 20% × 2.951): 10,8x EBITDA, un cap rate real de 6,1% y 0,94x el valor libro. Llevar el DCF al 30-sep-26 lo subiría a ~CLP 2.119, sin cambiar la recomendación. El catalizador es la propia tasa: con el UST 10Y nominal en 5,22% (8-oct-26; máximo desde 2002, por verificar), las tasas largas presionan los cap rates, y cada nueva tasación los acerca a nuestro valor. Lo que rompería la tesis es lo contrario: una nueva compresión de cap rates por la demanda institucional de activos defensivos, o una prima estructural por los activos Tier A (ver Riesgos, FR1). Vigilaremos la tasación de la Nota 11 en cada cierre, el spread del bono UF frente a su cupón real de 3,6% (con la tasa efectiva real de 4,33% de la última emisión, la WACC nominal subiría 12 pb y el precio objetivo bajaría a CLP 2.042), la rebaja del impuesto corporativo a 23% (+5,2% al precio objetivo, aún no incluida) y la calificación AAA local, que probablemente quedaría bajo presión con 3,5x de DFN/EBITDA.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31: </w:t>
            </w:r>
            <w:r>
              <w:rPr>
                <w:rFonts w:ascii="Arial" w:cs="Arial" w:eastAsia="Arial" w:hAnsi="Arial"/>
                <w:color w:val="14284B"/>
                <w:sz w:val="14"/>
                <w:szCs w:val="14"/>
              </w:rPr>
              <w:t xml:space="preserve">Chile y Brasil cobran la misma prima: los múltiplos difieren por las tasas</w:t>
            </w:r>
          </w:p>
          <w:p>
            <w:pPr>
              <w:spacing w:after="20" w:before="0" w:line="240" w:lineRule="auto"/>
            </w:pPr>
            <w:r>
              <w:drawing>
                <wp:inline distT="0" distB="0" distL="0" distR="0">
                  <wp:extent cx="2257425"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20574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Bono real: UF 10 años (BCCh) y NTN-B 2035 (8,08%) al 30-06-26. Spread = cap rate (1 / EV/EBITDA) − bono real. IRSA se omite (NIC 29). Fuente: Bloomberg; BCCh; análisis del equipo.</w:t>
            </w:r>
          </w:p>
          <w:p>
            <w:pPr>
              <w:spacing w:after="30" w:before="90" w:line="228" w:lineRule="auto"/>
            </w:pPr>
            <w:r>
              <w:rPr>
                <w:rFonts w:ascii="Arial" w:cs="Arial" w:eastAsia="Arial" w:hAnsi="Arial"/>
                <w:b/>
                <w:bCs/>
                <w:color w:val="14284B"/>
                <w:sz w:val="14"/>
                <w:szCs w:val="14"/>
              </w:rPr>
              <w:t xml:space="preserve">Figura 32: </w:t>
            </w:r>
            <w:r>
              <w:rPr>
                <w:rFonts w:ascii="Arial" w:cs="Arial" w:eastAsia="Arial" w:hAnsi="Arial"/>
                <w:color w:val="14284B"/>
                <w:sz w:val="14"/>
                <w:szCs w:val="14"/>
              </w:rPr>
              <w:t xml:space="preserve">Valor implícito por múltiplo de cada par vs DCF y precio (CLP por acción)</w:t>
            </w:r>
          </w:p>
          <w:p>
            <w:pPr>
              <w:spacing w:after="20" w:before="0" w:line="240" w:lineRule="auto"/>
            </w:pPr>
            <w:r>
              <w:drawing>
                <wp:inline distT="0" distB="0" distL="0" distR="0">
                  <wp:extent cx="22574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17811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Precio objetivo = 80% DCF + 20% EV/EBITDA UDM. P/E excluido (incluye revalorización). Fuente: Bloomberg (30-09-26); análisis del equipo.</w:t>
            </w:r>
          </w:p>
          <w:p>
            <w:pPr>
              <w:spacing w:after="30" w:before="90" w:line="228" w:lineRule="auto"/>
            </w:pPr>
            <w:r>
              <w:rPr>
                <w:rFonts w:ascii="Arial" w:cs="Arial" w:eastAsia="Arial" w:hAnsi="Arial"/>
                <w:b/>
                <w:bCs/>
                <w:color w:val="14284B"/>
                <w:sz w:val="14"/>
                <w:szCs w:val="14"/>
              </w:rPr>
              <w:t xml:space="preserve">Figura 33: </w:t>
            </w:r>
            <w:r>
              <w:rPr>
                <w:rFonts w:ascii="Arial" w:cs="Arial" w:eastAsia="Arial" w:hAnsi="Arial"/>
                <w:color w:val="14284B"/>
                <w:sz w:val="14"/>
                <w:szCs w:val="14"/>
              </w:rPr>
              <w:t xml:space="preserve">El mercado paga 6,0%; nuestros flujos valen 10,1% (cap rate real)</w:t>
            </w:r>
          </w:p>
          <w:p>
            <w:pPr>
              <w:spacing w:after="20" w:before="0" w:line="240" w:lineRule="auto"/>
            </w:pPr>
            <w:r>
              <w:drawing>
                <wp:inline distT="0" distB="0" distL="0" distR="0">
                  <wp:extent cx="2257425"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57425" cy="14668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Cap rate = EBITDA UDM / EV, comparable con tasas reales (rentas en UF). Gran Plaza: hecho posterior, no entra al modelo. Fuente: Mallplaza; Bloomberg; DF; análisis del equipo.</w:t>
            </w:r>
          </w:p>
          <w:p>
            <w:pPr>
              <w:spacing w:after="30" w:before="90" w:line="228" w:lineRule="auto"/>
            </w:pPr>
            <w:r>
              <w:rPr>
                <w:rFonts w:ascii="Arial" w:cs="Arial" w:eastAsia="Arial" w:hAnsi="Arial"/>
                <w:b/>
                <w:bCs/>
                <w:color w:val="14284B"/>
                <w:sz w:val="14"/>
                <w:szCs w:val="14"/>
              </w:rPr>
              <w:t xml:space="preserve">Figura 34: </w:t>
            </w:r>
            <w:r>
              <w:rPr>
                <w:rFonts w:ascii="Arial" w:cs="Arial" w:eastAsia="Arial" w:hAnsi="Arial"/>
                <w:color w:val="14284B"/>
                <w:sz w:val="14"/>
                <w:szCs w:val="14"/>
              </w:rPr>
              <w:t xml:space="preserve">El precio exige una WACC nominal 281 pb menor</w:t>
            </w:r>
          </w:p>
          <w:p>
            <w:pPr>
              <w:spacing w:after="20" w:before="0" w:line="240" w:lineRule="auto"/>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WACC nominal terminal; todos los períodos se desplazan en paralelo. Fuente: análisis del equipo.</w:t>
            </w:r>
          </w:p>
        </w:tc>
      </w:tr>
    </w:tbl>
    <w:sectPr>
      <w:headerReference w:type="default" r:id="rId7"/>
      <w:footerReference w:type="default" r:id="rId8"/>
      <w:pgSz w:w="11906" w:h="16838" w:orient="portrait"/>
      <w:pgMar w:top="1000" w:right="620" w:bottom="900" w:left="62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Página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f4c3b799e111b35c14611db94b252208b570328.png"/><Relationship Id="rId10" Type="http://schemas.openxmlformats.org/officeDocument/2006/relationships/image" Target="media/ba45f66748a717018d547bb42e2f5d824b10d203.png"/><Relationship Id="rId11" Type="http://schemas.openxmlformats.org/officeDocument/2006/relationships/image" Target="media/21920877934c9931d8267664993f222a8428bd47.png"/><Relationship Id="rId12" Type="http://schemas.openxmlformats.org/officeDocument/2006/relationships/image" Target="media/8e0c26777730e1aac65fea69001a2d8a7c22b295.png"/><Relationship Id="rId13" Type="http://schemas.openxmlformats.org/officeDocument/2006/relationships/image" Target="media/e2ccf62f48e92e82e3d897a5379bf2c580267fad.png"/><Relationship Id="rId14" Type="http://schemas.openxmlformats.org/officeDocument/2006/relationships/image" Target="media/ead92b919a2f809084c3d1d395d08da1bfaafce1.png"/><Relationship Id="rId15" Type="http://schemas.openxmlformats.org/officeDocument/2006/relationships/image" Target="media/4be407fa4bc5e1b7c90dd855d13e6eb7add103a9.png"/><Relationship Id="rId16" Type="http://schemas.openxmlformats.org/officeDocument/2006/relationships/image" Target="media/48c761d5675c07161b48f3504273a2fef78823e1.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2026-10-19T19:03:32.644Z</dcterms:created>
  <dcterms:modified xsi:type="dcterms:W3CDTF">2026-10-19T19:03:32.649Z</dcterms:modified>
</cp:coreProperties>
</file>

<file path=docProps/custom.xml><?xml version="1.0" encoding="utf-8"?>
<Properties xmlns="http://schemas.openxmlformats.org/officeDocument/2006/custom-properties" xmlns:vt="http://schemas.openxmlformats.org/officeDocument/2006/docPropsVTypes"/>
</file>