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es el mayor operador de centros comerciales de la región andina: 37 centros y 2,36 millones de m² de GLA en Chile, Perú y Colombia, con ingresos casi tan predecibles como un bono (81,4% arriendos, 93% de renta fija y reajustada en UF en Chile) y un margen EBITDA de 80,5%. Es un gran negocio, pero a CLP 3.555 el mercado lo paga como si sus flujos estuvieran casi libres de riesgo. Ponderando 80% nuestro DCF y 20% los múltiplos de pares, llegamos a un precio objetivo de CLP 2.076 y recomendamos VENDER. El desacuerdo con el mercado no está en los flujos, sino en la tasa: el precio exige una WACC de 7,56%, 285 pb bajo nuestro 10,41%, y un cap rate de 6,0% frente al 10,1% que implican nuestros flujos. Crecer no rescata el precio, porque cada m² nuevo rinde 5,0% real frente a una WACC real de 7,2%, y ni el escenario bull (CLP 2.627) ni la tasa de los tasadores (CLP 2.719) alcanzan la cotización. El riesgo principal para la tesis es una nueva compresión de las tasas largas.</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2876"/>
        <w:gridCol w:w="2876"/>
        <w:gridCol w:w="2876"/>
        <w:gridCol w:w="2876"/>
      </w:tblGrid>
      <w:tr>
        <w:tc>
          <w:tcPr>
            <w:tcW w:type="dxa" w:w="287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Recomendación</w:t>
            </w:r>
          </w:p>
          <w:p>
            <w:pPr>
              <w:keepNext w:val="false"/>
              <w:jc w:val="center"/>
            </w:pPr>
            <w:r>
              <w:rPr>
                <w:rFonts w:ascii="Arial" w:cs="Arial" w:eastAsia="Arial" w:hAnsi="Arial"/>
                <w:b/>
                <w:bCs/>
                <w:color w:val="FFFFFF"/>
                <w:sz w:val="26"/>
                <w:szCs w:val="26"/>
              </w:rPr>
              <w:t xml:space="preserve">VENDER</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objetivo</w:t>
            </w:r>
          </w:p>
          <w:p>
            <w:pPr>
              <w:keepNext w:val="false"/>
              <w:jc w:val="center"/>
            </w:pPr>
            <w:r>
              <w:rPr>
                <w:rFonts w:ascii="Arial" w:cs="Arial" w:eastAsia="Arial" w:hAnsi="Arial"/>
                <w:b/>
                <w:bCs/>
                <w:color w:val="FFFFFF"/>
                <w:sz w:val="26"/>
                <w:szCs w:val="26"/>
              </w:rPr>
              <w:t xml:space="preserve">CLP 2.076</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(30-sep-26)</w:t>
            </w:r>
          </w:p>
          <w:p>
            <w:pPr>
              <w:keepNext w:val="false"/>
              <w:jc w:val="center"/>
            </w:pPr>
            <w:r>
              <w:rPr>
                <w:rFonts w:ascii="Arial" w:cs="Arial" w:eastAsia="Arial" w:hAnsi="Arial"/>
                <w:b/>
                <w:bCs/>
                <w:color w:val="FFFFFF"/>
                <w:sz w:val="26"/>
                <w:szCs w:val="26"/>
              </w:rPr>
              <w:t xml:space="preserve">CLP 3.555</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Potencial</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pBdr>
          <w:bottom w:val="single" w:color="14284B" w:sz="18" w:space="2"/>
        </w:pBdr>
        <w:spacing w:after="80" w:before="120"/>
        <w:ind w:right="3766"/>
      </w:pPr>
      <w:r>
        <w:rPr>
          <w:rFonts w:ascii="Arial" w:cs="Arial" w:eastAsia="Arial" w:hAnsi="Arial"/>
          <w:b/>
          <w:bCs/>
          <w:color w:val="14284B"/>
          <w:sz w:val="30"/>
          <w:szCs w:val="30"/>
        </w:rPr>
        <w:t xml:space="preserve">DESCRIPCIÓN DEL NEGOCIO</w:t>
      </w:r>
    </w:p>
    <w:p>
      <w:pPr>
        <w:keepNext/>
        <w:pBdr>
          <w:bottom w:val="single" w:color="E9004B" w:sz="8" w:space="1"/>
        </w:pBdr>
        <w:spacing w:after="50" w:before="110"/>
        <w:ind w:right="3766"/>
      </w:pPr>
      <w:r>
        <w:rPr>
          <w:rFonts w:ascii="Arial" w:cs="Arial" w:eastAsia="Arial" w:hAnsi="Arial"/>
          <w:b/>
          <w:bCs/>
          <w:color w:val="14284B"/>
          <w:sz w:val="16"/>
          <w:szCs w:val="16"/>
        </w:rPr>
        <w:t xml:space="preserve">DE UN MALL EN LA FLORIDA A 37 CENTROS URBANOS EN LA REGIÓN ANDINA</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 </w:t>
            </w:r>
            <w:r>
              <w:rPr>
                <w:rFonts w:ascii="Arial" w:cs="Arial" w:eastAsia="Arial" w:hAnsi="Arial"/>
                <w:color w:val="14284B"/>
                <w:sz w:val="14"/>
                <w:szCs w:val="14"/>
              </w:rPr>
              <w:t xml:space="preserve">GLA por país (2T26) e ingresos por fuente (UDM a jun-2026)</w:t>
            </w:r>
          </w:p>
          <w:p>
            <w:pPr>
              <w:keepNext w:val="false"/>
              <w:spacing w:after="20" w:before="0" w:line="240" w:lineRule="auto"/>
              <w:jc w:val="center"/>
            </w:pPr>
            <w:r>
              <w:drawing>
                <wp:inline distT="0" distB="0" distL="0" distR="0">
                  <wp:extent cx="90487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0487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de Resultados 2Q26 (p.19) y Presentación Institucional 2Q26 (p.16).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nació en 1990 con Mallplaza Vespucio, construido desde cero en La Florida, y 35 años después es uno de los principales actores del retail real estate de la Región Andina, con 37 centros urbanos y 2,36 millones de m² de GLA en Chile, Perú y Colombia (Figura 1). Llegó a Perú en 2007 con Mallplaza Trujillo, abrió su capital en la Bolsa de Santiago en 2018 y hoy su controlador es Falabella S.A., con 53,1% de la propiedad a diciembre de 2025. Su negocio, sin embargo, sigue siendo el mismo que en su origen, arrendar m². El arriendo explica 81,4% de los ingresos de los últimos doce meses (UDM) y el resto proviene de estacionamientos, servicios comerciales y publicidad. Como el 93% de ese arriendo es fijo y en Chile se reajusta en UF, los ingresos son muy predecibles, y la empresa además logra hacerlos crecer en términos reales. En Chile el arriendo de mismos contratos (SSR) aumentó 6,5% UDM frente a un IPC de 4,3%, sin que sus locatarios lo resientan, pues el arriendo equivale a apenas 9,9% de sus ventas (costo de ocupación), casi lo mismo que un año antes (9,7%). Tampoco se trata de un buen año aislado, ya que entre 1T23 y 2T26 el SSR de Chile promedió 6,9% contra una inflación de 4,8%.</w:t>
      </w:r>
    </w:p>
    <w:p>
      <w:pPr>
        <w:keepNext/>
        <w:pBdr>
          <w:bottom w:val="single" w:color="E9004B" w:sz="8" w:space="1"/>
        </w:pBdr>
        <w:spacing w:after="50" w:before="110"/>
        <w:ind w:right="3766"/>
      </w:pPr>
      <w:r>
        <w:rPr>
          <w:rFonts w:ascii="Arial" w:cs="Arial" w:eastAsia="Arial" w:hAnsi="Arial"/>
          <w:b/>
          <w:bCs/>
          <w:color w:val="14284B"/>
          <w:sz w:val="16"/>
          <w:szCs w:val="16"/>
        </w:rPr>
        <w:t xml:space="preserve">UN MIX DE LOCATARIOS QUE SE REINVENTA Y MÁRGENES ALTOS POR DISEÑO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Ese poder de precio descansa en un mix de locatarios que la empresa ha sabido reinventar. Las tiendas por departamento, que en 2020 ocupaban 26,7% del GLA, bajaron a 19,0% en 2T26, luego de que Mallplaza reconvirtiera desde 2019 cerca de 146.000 m² de grandes tiendas hacia marcas como IKEA, H&amp;M y Decathlon (Anexo 2). Hoy el 32,2% del GLA se destina a comercio esencial y servicios de tráfico diario, como supermercados, mejoramiento del hogar, servicios públicos y salud, que generan visitas de alta frecuencia, y otro 21,5% a retail de especialidad. Ningún cliente domina los ingresos, ya que los cinco mayores locatarios suman 18% y las empresas relacionadas, 15,7%. A esto se suma una estructura de costos liviana, con un costo de ventas de 6,2% de los ingresos y gastos de administración de 13,9%, lo que deja un margen EBITDA de 80,5% UDM.</w:t>
      </w:r>
    </w:p>
    <w:p>
      <w:pPr>
        <w:keepNext/>
        <w:pBdr>
          <w:bottom w:val="single" w:color="E9004B" w:sz="8" w:space="1"/>
        </w:pBdr>
        <w:spacing w:after="50" w:before="110"/>
        <w:ind w:right="3766"/>
      </w:pPr>
      <w:r>
        <w:rPr>
          <w:rFonts w:ascii="Arial" w:cs="Arial" w:eastAsia="Arial" w:hAnsi="Arial"/>
          <w:b/>
          <w:bCs/>
          <w:color w:val="14284B"/>
          <w:sz w:val="16"/>
          <w:szCs w:val="16"/>
        </w:rPr>
        <w:t xml:space="preserve">EL VALOR SE CONCENTRA EN 10 ACTIVOS TIER 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historia de crecimiento se escribe en sus mejores activos. Diez centros, siete en Chile, dos en Colombia y uno en Perú, son Tier A, y con 46,4% del GLA generan más del 60% del EBITDA (Anexo 1). Hacia ellos apunta la inversión, pues las ampliaciones en construcción de Trébol, Oeste, Norte, Trujillo y La Serena buscan llevar los activos Tier A a más del 70% del GLA.</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DE LA INDUSTRIA Y POSICIONAMIENTO COMPETITIVO</w:t>
      </w:r>
    </w:p>
    <w:p>
      <w:pPr>
        <w:keepNext/>
        <w:pBdr>
          <w:bottom w:val="single" w:color="E9004B" w:sz="8" w:space="1"/>
        </w:pBdr>
        <w:spacing w:after="50" w:before="110"/>
        <w:ind w:right="3766"/>
      </w:pPr>
      <w:r>
        <w:rPr>
          <w:rFonts w:ascii="Arial" w:cs="Arial" w:eastAsia="Arial" w:hAnsi="Arial"/>
          <w:b/>
          <w:bCs/>
          <w:color w:val="14284B"/>
          <w:sz w:val="16"/>
          <w:szCs w:val="16"/>
        </w:rPr>
        <w:t xml:space="preserve">UNA INDUSTRIA CONCENTRADA EN CHILE Y FRAGMENTADA EN PERÚ Y COLOMBIA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el retail real estate, los operadores de centros comerciales no venden productos, sino que arriendan metros cuadrados de superficie arrendable (GLA) a sus locatarios a cambio de un ingreso mayoritariamente fijo e indexado a la inflación de cada país. En Mallplaza, por ejemplo, el 93% del ingreso por arriendo es fijo. Por eso medimos la participación de mercado por GLA y no por ventas, y bajo esa óptica Mallplaza, Cenco Malls y Parque Arauco administran en conjunto 3,4 millones de m² solo en Chile.</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 </w:t>
            </w:r>
            <w:r>
              <w:rPr>
                <w:rFonts w:ascii="Arial" w:cs="Arial" w:eastAsia="Arial" w:hAnsi="Arial"/>
                <w:color w:val="14284B"/>
                <w:sz w:val="14"/>
                <w:szCs w:val="14"/>
              </w:rPr>
              <w:t xml:space="preserve">Participación de mercado por GLA y concentración, 2Q26</w:t>
            </w:r>
          </w:p>
          <w:p>
            <w:pPr>
              <w:keepNext w:val="false"/>
              <w:spacing w:after="20" w:before="0" w:line="240" w:lineRule="auto"/>
              <w:jc w:val="center"/>
            </w:pPr>
            <w:r>
              <w:drawing>
                <wp:inline distT="0" distB="0" distL="0" distR="0">
                  <wp:extent cx="13430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430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(slide 7); análisis del equipo. Colombia pro forma, incluye Gran 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estructura del mercado, sin embargo, cambia de un país a otro (Figura 2). En Chile el trío concentra el 76% del GLA de los principales operadores (CR3) y el HHI parcial alcanza al menos 2.126 puntos, propio de un mercado altamente concentrado, con Mallplaza como líder (33%) seguido de Cenco (29%) y Parque Arauco (14%). En Perú y Colombia, en cambio, el trío reúne apenas el 37% y el 13% del GLA, el liderazgo lo ejerce un operador externo con 29% y 9%, respectivamente, y Mallplaza ocupa el segundo lugar en ambos mercados. La fragmentación es mayor en Colombia, donde la mayoría de los centros comerciales es de propiedad horizontal, lo que obliga a los operadores profesionales a crecer comprando activos de dueño único, como hizo Mallplaza con Gran Plaza.</w:t>
      </w:r>
    </w:p>
    <w:p>
      <w:pPr>
        <w:keepNext/>
        <w:pBdr>
          <w:bottom w:val="single" w:color="E9004B" w:sz="8" w:space="1"/>
        </w:pBdr>
        <w:spacing w:after="50" w:before="110"/>
        <w:ind w:right="3766"/>
      </w:pPr>
      <w:r>
        <w:rPr>
          <w:rFonts w:ascii="Arial" w:cs="Arial" w:eastAsia="Arial" w:hAnsi="Arial"/>
          <w:b/>
          <w:bCs/>
          <w:color w:val="14284B"/>
          <w:sz w:val="16"/>
          <w:szCs w:val="16"/>
        </w:rPr>
        <w:t xml:space="preserve">LA OFERTA NUEVA EN CHILE CRECE AL RITMO DEL CONSUMO, CON PRESIÓN EN 2027-2028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Entre 2026 y 2028 el trío agregará en Chile 219.900 m² orgánicos que competirán por el gasto de los consumidores, equivalentes al 6,7% de su GLA actual, cifra que excluye las oficinas y el multifamily, que no dependen del consumo, y las adquisiciones, que solo cambian de dueño. En el mismo período el Banco Central proyecta un crecimiento acumulado de 6,4% del consumo privado (Figura 3), de modo que la oferta nueva avanza prácticamente al ritmo de la demanda esperada. El calendario, eso sí, no es parejo, ya que 2026 casi no suma metros (+0,2%) y la presión se concentra en 2027 y 2028, cuando la oferta (+2,9% y +3,5%) se adelanta al consumo (+2,1% y +2,7%).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punto de partida es exigente, porque en el 2T26 las ventas reales de los locatarios del trío en Chile cayeron 2,5% a/a. Mallplaza fue la única que creció en términos reales (+1,0%), frente a las caídas de Parque Arauco (−1,7%) y Cenco (−5,9%). Aun así, los locatarios siguen demandando espacio, y la ocupación consolidada de las tres empresas se ha movido entre 93% y 99% desde el 2T22, incluso durante el ciclo de inflación y tasas altas (Anexo 4). Fuera de Chile el balance es más holgado, ya que la oferta nueva con fecha se limita a ampliaciones de Mallplaza en Perú (55.800 m²), es prácticamente nula en Colombia y convive con ventas en mismas tiendas (SSS) de Mallplaza que crecieron 7,0% en Perú y 9,0% en Colombia en moneda local.</w:t>
      </w:r>
    </w:p>
    <w:p>
      <w:pPr>
        <w:keepNext/>
        <w:pBdr>
          <w:bottom w:val="single" w:color="E9004B" w:sz="8" w:space="1"/>
        </w:pBdr>
        <w:spacing w:after="50" w:before="110"/>
        <w:ind w:right="3766"/>
      </w:pPr>
      <w:r>
        <w:rPr>
          <w:rFonts w:ascii="Arial" w:cs="Arial" w:eastAsia="Arial" w:hAnsi="Arial"/>
          <w:b/>
          <w:bCs/>
          <w:color w:val="14284B"/>
          <w:sz w:val="16"/>
          <w:szCs w:val="16"/>
        </w:rPr>
        <w:t xml:space="preserve">UNA INDUSTRIA ATRACTIVA, CUYA ÚNICA FUERZA INTENSA ES LA RIVALIDAD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Para evaluar el atractivo de la industria analizamos las cinco fuerzas de Porter en cada país, en una escala de 1 (débil) a 5 (intensa), y las ponderamos por el GLA de Mallplaza en Chile (62%), Perú (26%) y Colombia (12%) (Figura 4; evidencia en Anexo 6). El resultado describe una industria atractiva, coherente con márgenes EBITDA que van de 71% a 90% en los tres operadores, y en la que la única fuerza intensa es la rivalidad.</w:t>
      </w:r>
    </w:p>
    <w:tbl>
      <w:tblPr>
        <w:tblpPr w:leftFromText="0" w:rightFromText="0" w:topFromText="0" w:bottomFromText="0" w:tblpX="795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3: </w:t>
            </w:r>
            <w:r>
              <w:rPr>
                <w:rFonts w:ascii="Arial" w:cs="Arial" w:eastAsia="Arial" w:hAnsi="Arial"/>
                <w:color w:val="14284B"/>
                <w:sz w:val="14"/>
                <w:szCs w:val="14"/>
              </w:rPr>
              <w:t xml:space="preserve">Oferta nueva de GLA en Chile vs consumo privado esperado, 2026-2028</w:t>
            </w:r>
          </w:p>
          <w:p>
            <w:pPr>
              <w:keepNext w:val="false"/>
              <w:spacing w:after="20" w:before="0" w:line="240" w:lineRule="auto"/>
              <w:jc w:val="center"/>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4287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de Plaza S.A., Parque Arauco y Cenco Malls; Banco Central de Chile, IPoM sep-2026 (Tabla II.1); análisis del equipo. Solo GLA orgánico que depende del consumo.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w:t>
      </w:r>
      <w:r>
        <w:rPr>
          <w:rFonts w:ascii="Arial" w:cs="Arial" w:eastAsia="Arial" w:hAnsi="Arial"/>
          <w:b/>
          <w:bCs/>
          <w:i w:val="false"/>
          <w:iCs w:val="false"/>
          <w:color w:val="14284B"/>
          <w:sz w:val="16"/>
          <w:szCs w:val="16"/>
        </w:rPr>
        <w:t xml:space="preserve">rivalidad (4)</w:t>
      </w:r>
      <w:r>
        <w:rPr>
          <w:rFonts w:ascii="Arial" w:cs="Arial" w:eastAsia="Arial" w:hAnsi="Arial"/>
          <w:i w:val="false"/>
          <w:iCs w:val="false"/>
          <w:color w:val="1A1A1A"/>
          <w:sz w:val="16"/>
          <w:szCs w:val="16"/>
        </w:rPr>
        <w:t xml:space="preserve"> no se juega en precio, sino en experiencia y en activos. Mallplaza destina más de la mitad de su GLA a formatos no tradicionales, experiencia y entretención, Cenco abrió QINTO con 30.000 m² de gastronomía en Costanera y Parque Arauco suma pisos gastronómicos en Kennedy, mientras la competencia por comprar activos se intensifica, con Minka y Plaza Central cambiando de dueño en el último año y Parque Arauco anunciando la compra de Quilín y Chicureo. No le asignamos la nota máxima porque las participaciones del trío en Chile se mantienen estables desde el 2T22 (Anexo 5) y los márgenes no muestran erosión.</w:t>
      </w:r>
    </w:p>
    <w:tbl>
      <w:tblPr>
        <w:tblpPr w:leftFromText="0" w:rightFromText="0" w:topFromText="0" w:bottomFromText="0" w:tblpX="7956" w:tblpY="180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4: </w:t>
            </w:r>
            <w:r>
              <w:rPr>
                <w:rFonts w:ascii="Arial" w:cs="Arial" w:eastAsia="Arial" w:hAnsi="Arial"/>
                <w:color w:val="14284B"/>
                <w:sz w:val="14"/>
                <w:szCs w:val="14"/>
              </w:rPr>
              <w:t xml:space="preserve">Cinco fuerzas de Porter, escala 1-5</w:t>
            </w:r>
          </w:p>
          <w:p>
            <w:pPr>
              <w:keepNext w:val="false"/>
              <w:spacing w:after="20" w:before="0" w:line="240" w:lineRule="auto"/>
              <w:jc w:val="center"/>
            </w:pPr>
            <w:r>
              <w:drawing>
                <wp:inline distT="0" distB="0" distL="0" distR="0">
                  <wp:extent cx="21812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812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con datos de reportes 2Q26 (Anexo 6). 1 = fuerza débil; 5 = fuerza intensa.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amenaza de </w:t>
      </w:r>
      <w:r>
        <w:rPr>
          <w:rFonts w:ascii="Arial" w:cs="Arial" w:eastAsia="Arial" w:hAnsi="Arial"/>
          <w:b/>
          <w:bCs/>
          <w:i w:val="false"/>
          <w:iCs w:val="false"/>
          <w:color w:val="14284B"/>
          <w:sz w:val="16"/>
          <w:szCs w:val="16"/>
        </w:rPr>
        <w:t xml:space="preserve">nuevos entrantes (2)</w:t>
      </w:r>
      <w:r>
        <w:rPr>
          <w:rFonts w:ascii="Arial" w:cs="Arial" w:eastAsia="Arial" w:hAnsi="Arial"/>
          <w:i w:val="false"/>
          <w:iCs w:val="false"/>
          <w:color w:val="1A1A1A"/>
          <w:sz w:val="16"/>
          <w:szCs w:val="16"/>
        </w:rPr>
        <w:t xml:space="preserve"> es acotada, porque desarrollar un centro comercial exige mucho capital (la cartera de ampliaciones de Mallplaza suma USD 613 MM por 170.200 m²) y buena parte del escaso suelo urbano ya está en manos de los incumbentes, con bancos de terrenos de 618.200 m² en Mallplaza y 640.136 m² en Cenco, aunque la barrera es menor en Perú y sobre todo en Colombia. El </w:t>
      </w:r>
      <w:r>
        <w:rPr>
          <w:rFonts w:ascii="Arial" w:cs="Arial" w:eastAsia="Arial" w:hAnsi="Arial"/>
          <w:b/>
          <w:bCs/>
          <w:i w:val="false"/>
          <w:iCs w:val="false"/>
          <w:color w:val="14284B"/>
          <w:sz w:val="16"/>
          <w:szCs w:val="16"/>
        </w:rPr>
        <w:t xml:space="preserve">poder de los locatarios (1)</w:t>
      </w:r>
      <w:r>
        <w:rPr>
          <w:rFonts w:ascii="Arial" w:cs="Arial" w:eastAsia="Arial" w:hAnsi="Arial"/>
          <w:i w:val="false"/>
          <w:iCs w:val="false"/>
          <w:color w:val="1A1A1A"/>
          <w:sz w:val="16"/>
          <w:szCs w:val="16"/>
        </w:rPr>
        <w:t xml:space="preserve"> es débil, dado que la ocupación en Chile llega a 96-99%, los contratos son largos (Figura 6) y los arrendatarios están atomizados, al punto que los cinco mayores explican solo el 18% de los ingresos de Mallplaza. Prueba de ello es que Mallplaza ha subido sus arriendos en Chile por sobre la inflación durante más de tres años (6,9% frente a 4,8% en promedio entre 1T23 y 2T26) sin que el costo de ocupación de sus locatarios se dispare. La excepción son las tiendas por departamento, que como anclas negocian mejores condiciones, aunque su peso ya bajó a 19,0% del GLA. Los </w:t>
      </w:r>
      <w:r>
        <w:rPr>
          <w:rFonts w:ascii="Arial" w:cs="Arial" w:eastAsia="Arial" w:hAnsi="Arial"/>
          <w:b/>
          <w:bCs/>
          <w:i w:val="false"/>
          <w:iCs w:val="false"/>
          <w:color w:val="14284B"/>
          <w:sz w:val="16"/>
          <w:szCs w:val="16"/>
        </w:rPr>
        <w:t xml:space="preserve">proveedores (1)</w:t>
      </w:r>
      <w:r>
        <w:rPr>
          <w:rFonts w:ascii="Arial" w:cs="Arial" w:eastAsia="Arial" w:hAnsi="Arial"/>
          <w:i w:val="false"/>
          <w:iCs w:val="false"/>
          <w:color w:val="1A1A1A"/>
          <w:sz w:val="16"/>
          <w:szCs w:val="16"/>
        </w:rPr>
        <w:t xml:space="preserve"> casi no pesan, porque el gasto común se traspasa a los locatarios y el costo de ventas equivale a solo 6,2% de los ingresos de Mallplaza. Por último, los </w:t>
      </w:r>
      <w:r>
        <w:rPr>
          <w:rFonts w:ascii="Arial" w:cs="Arial" w:eastAsia="Arial" w:hAnsi="Arial"/>
          <w:b/>
          <w:bCs/>
          <w:i w:val="false"/>
          <w:iCs w:val="false"/>
          <w:color w:val="14284B"/>
          <w:sz w:val="16"/>
          <w:szCs w:val="16"/>
        </w:rPr>
        <w:t xml:space="preserve">sustitutos (2)</w:t>
      </w:r>
      <w:r>
        <w:rPr>
          <w:rFonts w:ascii="Arial" w:cs="Arial" w:eastAsia="Arial" w:hAnsi="Arial"/>
          <w:i w:val="false"/>
          <w:iCs w:val="false"/>
          <w:color w:val="1A1A1A"/>
          <w:sz w:val="16"/>
          <w:szCs w:val="16"/>
        </w:rPr>
        <w:t xml:space="preserve"> son una amenaza baja, ya que el e-commerce le resta ventas a los locatarios, pero el arriendo fijo protege al operador y las visitas siguen creciendo, como muestra el alza de 4,4% en Mallplaza Chile durante el 2T26.</w:t>
      </w:r>
    </w:p>
    <w:p>
      <w:pPr>
        <w:keepNext/>
        <w:pBdr>
          <w:bottom w:val="single" w:color="E9004B" w:sz="8" w:space="1"/>
        </w:pBdr>
        <w:spacing w:after="50" w:before="110"/>
        <w:ind w:right="3766"/>
      </w:pPr>
      <w:r>
        <w:rPr>
          <w:rFonts w:ascii="Arial" w:cs="Arial" w:eastAsia="Arial" w:hAnsi="Arial"/>
          <w:b/>
          <w:bCs/>
          <w:color w:val="14284B"/>
          <w:sz w:val="16"/>
          <w:szCs w:val="16"/>
        </w:rPr>
        <w:t xml:space="preserve">MALLPLAZA CONVIERTE SU ESCALA EN EL M² MÁS PRODUCTIVO DEL TRÍO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convierte su escala en el EBITDA por m² más alto del trío, con 59.451 CLP en el 2T26 frente a 58.384 de Cenco y 55.738 de Parque Arauco (Figura 5). Esa ventaja nace de ubicaciones urbanas de alto tráfico, que en Chile recibieron 52,7 millones de visitas en el trimestre frente a 32,5 millones en Cenco, y de una venta mensual por m² de 289.788 CLP en Chile, 5,8% superior a la de un año antes. La brecha con Cenco es estrecha y en parte se explica porque Cenco incorporó Plaza Central en junio, con apenas un mes de EBITDA en el trimestre.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participación, Mallplaza cedió 1,2 pp dentro del trío en Chile desde el 2T22, principalmente porque Parque Arauco sumó por compra Kennedy Oriente (70.000 m²) mientras Mallplaza crecía solo con ampliaciones, una estrategia orgánica que su cartera de 114.400 m² en Chile al 2028 permite sostener.</w:t>
      </w:r>
    </w:p>
    <w:p>
      <w:pPr>
        <w:keepNext/>
        <w:pBdr>
          <w:bottom w:val="single" w:color="E9004B" w:sz="8" w:space="1"/>
        </w:pBdr>
        <w:spacing w:after="50" w:before="110"/>
        <w:ind w:right="3766"/>
      </w:pPr>
      <w:r>
        <w:rPr>
          <w:rFonts w:ascii="Arial" w:cs="Arial" w:eastAsia="Arial" w:hAnsi="Arial"/>
          <w:b/>
          <w:bCs/>
          <w:color w:val="14284B"/>
          <w:sz w:val="16"/>
          <w:szCs w:val="16"/>
        </w:rPr>
        <w:t xml:space="preserve">CONTRATOS LARGOS PARA DEFENDER SU POSICIÓN</w:t>
      </w:r>
    </w:p>
    <w:tbl>
      <w:tblPr>
        <w:tblpPr w:leftFromText="0" w:rightFromText="0" w:topFromText="0" w:bottomFromText="0" w:tblpX="7956" w:tblpY="61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6: </w:t>
            </w:r>
            <w:r>
              <w:rPr>
                <w:rFonts w:ascii="Arial" w:cs="Arial" w:eastAsia="Arial" w:hAnsi="Arial"/>
                <w:color w:val="14284B"/>
                <w:sz w:val="14"/>
                <w:szCs w:val="14"/>
              </w:rPr>
              <w:t xml:space="preserve">Perfil de vencimiento de contratos (% del GLA) y duración promedio remanente, 2Q26</w:t>
            </w:r>
          </w:p>
          <w:p>
            <w:pPr>
              <w:keepNext w:val="false"/>
              <w:spacing w:after="20" w:before="0" w:line="240" w:lineRule="auto"/>
              <w:jc w:val="center"/>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3335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(p.7); Cenco Malls Presentación de Resultados 2T26 (p.14); Parque Arauco Reporte 2T26 (p.7) e Investor Presentation 2Q26 (slide 17). Ponderado por GLA; para Mallplaza es supuesto.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Esa posición está respaldada por contratos de larga duración. El plazo promedio remanente de los contratos de Mallplaza es de 7,1 años y el 57% de su GLA vence en más de cinco años (Figura 6), lo que la ubica entre Cenco (8,7 años) y Parque Arauco (5,0 años) con un equilibrio útil, porque asegura ingresos suficientes para atravesar la presión de oferta de 2027-2028 y, al mismo tiempo, deja un 15,1% del GLA con vencimiento antes de dos años para reajustar arriendos si la demanda acompaña.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una industria atractiva, pero con rivalidad alta y una oferta que se adelantará al consumo en 2027-2028, ganarán participación y rentabilidad los operadores con los activos más productivos y los contratos más estables. Mallplaza lidera en escala en Chile y en productividad por m², y es el único del trío con ventas reales crecientes, lo que lo deja bien posicionado para defender su rentabilidad. Su principal riesgo es la exposición a Chile, que concentra el 62% de su GLA y donde hoy el consumo se muestra más débil.</w:t>
      </w:r>
    </w:p>
    <w:p>
      <w:pPr>
        <w:keepNext/>
        <w:pBdr>
          <w:bottom w:val="single" w:color="14284B" w:sz="18" w:space="2"/>
        </w:pBdr>
        <w:spacing w:after="80" w:before="120"/>
        <w:ind w:right="3766"/>
      </w:pPr>
      <w:r>
        <w:rPr>
          <w:rFonts w:ascii="Arial" w:cs="Arial" w:eastAsia="Arial" w:hAnsi="Arial"/>
          <w:b/>
          <w:bCs/>
          <w:color w:val="14284B"/>
          <w:sz w:val="30"/>
          <w:szCs w:val="30"/>
        </w:rPr>
        <w:t xml:space="preserve">ENVIRONMENTAL, SOCIAL AND GOVERNANCE (ESG)</w:t>
      </w:r>
    </w:p>
    <w:tbl>
      <w:tblPr>
        <w:tblpPr w:leftFromText="0" w:rightFromText="0" w:topFromText="0" w:bottomFromText="0" w:tblpX="7956" w:tblpY="99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5: </w:t>
            </w:r>
            <w:r>
              <w:rPr>
                <w:rFonts w:ascii="Arial" w:cs="Arial" w:eastAsia="Arial" w:hAnsi="Arial"/>
                <w:color w:val="14284B"/>
                <w:sz w:val="14"/>
                <w:szCs w:val="14"/>
              </w:rPr>
              <w:t xml:space="preserve">EBITDA por m² de GLA, 2T26 trimestral (CLP)</w:t>
            </w:r>
          </w:p>
          <w:p>
            <w:pPr>
              <w:keepNext w:val="false"/>
              <w:spacing w:after="20" w:before="0" w:line="240" w:lineRule="auto"/>
              <w:jc w:val="center"/>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0572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Cenco Malls Presentación de Resultados 2T26; Parque Arauco Reporte 2T26; análisis del equipo. EBITDA del 2T26 / GLA consolidado al 30-jun-2026.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enfoque ESG de PLAZA es transversal en todas sus decisiones organizacionales, con el objetivo de desarrollar su modelo de negocios respetando los parámetros ESG y así contribuir a un desarrollo sostenible, lo que le da oportunidad de optar a beneficios financieros externos y de su propia operación. Respecto al cumplimiento de dichos parámetros, Bloomberg califica a la empresa con 3.39 puntos, lo que está por debajo de la media (5-6 pts) de la industria a nivel global y de su competencia directa en Chile (figura 7), pero esto se contrarresta con el perfil “verde” de la empresa a nivel local, ya que esta figura como una de las principales REM a nivel regional.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En cuanto a los beneficios propios de la operación, la implementación de un sistema de gestión de la energía (SGE) certificado por la ISO 50.001, se traduce en un mejor desempeño energético, por ende, en una reducción de costos operativos. Las oportunidades de optar a beneficios externos locales van ligadas a la imagen ESG de la empresa, en Chile existe la ley de I+D (CORFO) donde PLAZA puede alcanzar hasta un 55% de rebaja de impuestos de 1ª categoría; Perú reconoce a la empresa con 2 estrellas de 4 en “Huella de Carbono Perú”, lo que aporta a la imagen de la empresa para obtener más fácilmente permisos y licencias dentro del país, y Colombia tiene la ley 2.099 de 2021, que permite obtener descuentos aplicables a la renta por inversiones en control, conservación y mejoramiento del medio ambiente. Además la empresa tiene certificaciones y reconocimientos que aportan a su imagen ESG, y se ha incorporado a índices como el DJSI MILA (figura 7) que le dan exposición a ETF’s.</w:t>
      </w:r>
      <w:r>
        <w:rPr>
          <w:rFonts w:ascii="Arial" w:cs="Arial" w:eastAsia="Arial" w:hAnsi="Arial"/>
          <w:i w:val="false"/>
          <w:iCs w:val="false"/>
          <w:color w:val="1A1A1A"/>
          <w:sz w:val="16"/>
          <w:szCs w:val="16"/>
        </w:rPr>
        <w:t xml:space="preserve"> Según estimaciones de Morgan Stanley, la incorporación de PLAZA al índice MSCI podría generar flujos pasivos en torno a US$ 110 millones, equivalentes a cerca de 15 veces su volumen promedio diario transado, lo que fortalecería la liquidez del papel. En valor, la figura 12 estima (como escenario, no como dato) que los ahorros operativos ESG suman unos CLP 2 por acción y que una rebaja de 25 pb en el costo de la deuda y del capital propio aportaría CLP 71, frente a los CLP 1.406 que separan el precio objetivo del precio de la acción.</w:t>
      </w:r>
    </w:p>
    <w:p>
      <w:pPr>
        <w:keepNext/>
        <w:pBdr>
          <w:bottom w:val="single" w:color="E9004B" w:sz="8" w:space="1"/>
        </w:pBdr>
        <w:spacing w:after="50" w:before="110"/>
        <w:ind w:right="3766"/>
      </w:pPr>
      <w:r>
        <w:rPr>
          <w:rFonts w:ascii="Arial" w:cs="Arial" w:eastAsia="Arial" w:hAnsi="Arial"/>
          <w:b/>
          <w:bCs/>
          <w:color w:val="14284B"/>
          <w:sz w:val="16"/>
          <w:szCs w:val="16"/>
        </w:rPr>
        <w:t xml:space="preserve">ENVIRONMENTAL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enfoque de PLAZA es lograr una gestión operativa eficiente, sustentable y circular en base a la mejora continua del desempeño ambiental, lo que se traduce en ahorro de costos de su operación, para esto han fijado tres focos de acción estratégica sobre los parámetros ESG, los cuales son: Eficiencia energética e hídrica, huella de carbono y gestión de residuos. El principal objetivo de PLAZA es alcanzar la carbono neutralidad, estableciendo una proyección de ser Net Zero en emisiones directas e indirectas para 2035 (65.6% success rate 2025).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PLAZA se ha propuesto disminuir en un 22% la intensidad energética del gasto común para el 2035 (35.5% success rate 2025; figura 8). La meta propuesta de eficiencia eléctrica es que el 100% sea de energías renovables en 2026 (89.3% success rate). En 2025 la proporción anual fue 0.16 MWh/m2 (Energía/GLA), siendo 0.14 renovable y 0.014 no renovable) (figura 9).</w:t>
      </w:r>
      <w:r>
        <w:rPr>
          <w:rFonts w:ascii="Arial" w:cs="Arial" w:eastAsia="Arial" w:hAnsi="Arial"/>
          <w:b/>
          <w:bCs/>
          <w:i w:val="false"/>
          <w:iCs w:val="false"/>
          <w:color w:val="14284B"/>
          <w:sz w:val="16"/>
          <w:szCs w:val="16"/>
        </w:rPr>
        <w:t xml:space="preserve"> Water:</w:t>
      </w:r>
      <w:r>
        <w:rPr>
          <w:rFonts w:ascii="Arial" w:cs="Arial" w:eastAsia="Arial" w:hAnsi="Arial"/>
          <w:i w:val="false"/>
          <w:iCs w:val="false"/>
          <w:color w:val="1A1A1A"/>
          <w:sz w:val="16"/>
          <w:szCs w:val="16"/>
        </w:rPr>
        <w:t xml:space="preserve"> Fijó el objetivo en disminuir en un 30% el consumo directo de agua para 2025, lo que se logró en un 100,9% esto se ve influenciado por sus certificaciones LEED y EDGE. En 2025 la proporción anual (promedio) fue 0.77 m3/m2 (Agua/GLA) y 0.66 m3/m2 mensual en diciembre.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Estableció el objetivo de eliminar el 100% del uso de HCFC para 2030 (14.9% success rate 2025), esto es vital para la gestión de emisiones GEI, donde Bloomberg reconoce a PLAZA como Líder de la industria global. </w:t>
      </w:r>
      <w:r>
        <w:rPr>
          <w:rFonts w:ascii="Arial" w:cs="Arial" w:eastAsia="Arial" w:hAnsi="Arial"/>
          <w:b/>
          <w:bCs/>
          <w:i w:val="false"/>
          <w:iCs w:val="false"/>
          <w:color w:val="14284B"/>
          <w:sz w:val="16"/>
          <w:szCs w:val="16"/>
        </w:rPr>
        <w:t xml:space="preserve">Waste:</w:t>
      </w:r>
      <w:r>
        <w:rPr>
          <w:rFonts w:ascii="Arial" w:cs="Arial" w:eastAsia="Arial" w:hAnsi="Arial"/>
          <w:i w:val="false"/>
          <w:iCs w:val="false"/>
          <w:color w:val="1A1A1A"/>
          <w:sz w:val="16"/>
          <w:szCs w:val="16"/>
        </w:rPr>
        <w:t xml:space="preserve"> PLAZA propuso un 60% de valorización de residuos generados el 2025 (94.8% success rate; figura 9 y Anexo 8, figura 8.4), además de buscar desviar el 75% de residuos sólidos de los vertederos para el 2027. Informa haber eliminado el 97% de los plásticos de un solo uso de la operación. </w:t>
      </w:r>
      <w:r>
        <w:rPr>
          <w:rFonts w:ascii="Arial" w:cs="Arial" w:eastAsia="Arial" w:hAnsi="Arial"/>
          <w:b/>
          <w:bCs/>
          <w:i w:val="false"/>
          <w:iCs w:val="false"/>
          <w:color w:val="14284B"/>
          <w:sz w:val="16"/>
          <w:szCs w:val="16"/>
        </w:rPr>
        <w:t xml:space="preserve">Climate management: </w:t>
      </w:r>
      <w:r>
        <w:rPr>
          <w:rFonts w:ascii="Arial" w:cs="Arial" w:eastAsia="Arial" w:hAnsi="Arial"/>
          <w:i w:val="false"/>
          <w:iCs w:val="false"/>
          <w:color w:val="1A1A1A"/>
          <w:sz w:val="16"/>
          <w:szCs w:val="16"/>
        </w:rPr>
        <w:t xml:space="preserve">PLAZA adopta las recomendaciones TCFD para integrar los riesgos físicos y de transición, acompañado de un Due Diligence ambiental en adquisiciones de activos, esto bajo el programa de cumplimiento ambiental alineado con la ISO 14.001 y monitoreado por el comité de sustentabilidad.</w:t>
      </w:r>
    </w:p>
    <w:tbl>
      <w:tblPr>
        <w:tblpPr w:leftFromText="0" w:rightFromText="0" w:topFromText="0" w:bottomFromText="0" w:tblpX="7956" w:tblpY="-98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7: </w:t>
            </w:r>
            <w:r>
              <w:rPr>
                <w:rFonts w:ascii="Arial" w:cs="Arial" w:eastAsia="Arial" w:hAnsi="Arial"/>
                <w:color w:val="14284B"/>
                <w:sz w:val="14"/>
                <w:szCs w:val="14"/>
              </w:rPr>
              <w:t xml:space="preserve">Puntaje ESG de Bloomberg y ratings externos.</w:t>
            </w:r>
          </w:p>
          <w:p>
            <w:pPr>
              <w:keepNext w:val="false"/>
              <w:spacing w:after="20" w:before="0" w:line="240" w:lineRule="auto"/>
              <w:jc w:val="center"/>
            </w:pPr>
            <w:r>
              <w:drawing>
                <wp:inline distT="0" distB="0" distL="0" distR="0">
                  <wp:extent cx="17621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621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Bloomberg (puntaje ESG); MSCI, Morningstar Sustainalytics, S&amp;P Global, Huella Perú; Memoria Mallplaza 2025.</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SOCIAL</w:t>
      </w:r>
    </w:p>
    <w:tbl>
      <w:tblPr>
        <w:tblpPr w:leftFromText="0" w:rightFromText="0" w:topFromText="0" w:bottomFromText="0" w:tblpX="7956" w:tblpY="242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12: </w:t>
            </w:r>
            <w:r>
              <w:rPr>
                <w:rFonts w:ascii="Arial" w:cs="Arial" w:eastAsia="Arial" w:hAnsi="Arial"/>
                <w:color w:val="14284B"/>
                <w:sz w:val="14"/>
                <w:szCs w:val="14"/>
              </w:rPr>
              <w:t xml:space="preserve">Ahorros ESG y menor costo de capital frente al precio de la acción (escenario).</w:t>
            </w:r>
          </w:p>
          <w:p>
            <w:pPr>
              <w:keepNext w:val="false"/>
              <w:spacing w:after="20" w:before="0" w:line="240" w:lineRule="auto"/>
              <w:jc w:val="center"/>
            </w:pPr>
            <w:r>
              <w:drawing>
                <wp:inline distT="0" distB="0" distL="0" distR="0">
                  <wp:extent cx="16192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19250"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Escenario: los precios unitarios (energía CLP 110/kWh, agua CLP 1.500/m³, residuos CLP 10.000/t), el 25% del ahorro que retiene Mallplaza y la rebaja de 25 pb en Kd y Ke son supuestos del equipo, no datos de las fuentes. Volúmenes: Memoria Mallplaza 2025. Fuente: modelo v3, hoja ESG_Ahorros;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compañía plantea el ámbito social mediante un modelo enfocado a la relación ética de largo plazo (Anexo 8, figura 8.3), como un principio de creación de valor compartido situando a las personas de sus grupos de interés en el centro de su estrategia alineado con la ISO 45.001 y las directrices de la OIT, incorporando en 2025 el programa de detección y respuesta ante riesgos de su política de derechos humanos, de esta forma PLAZA gestiona sus stakeholders asegurando una vinculación transparente, utilizando mecanismos como diálogos comunitarios, evaluaciones de materialidad y encuestas de cultura organizacional (Anexo 8, sección 5), estando alerta a cualquier incidencia social a través de su canal de integridad, además de ser reconocido por CADEM en el puesto 31 de 385 “Marcas Ciudadanas”, siendo ganadora de la categoría “Centros Comerciales” (2026). Respecto a los empleados, estos son capacitados e incluso tienen disposición de programas específicos para quienes están por jubilarse, además de evaluar a sus proveedores con criterios de sostenibilidad (55.3% de los proveedores regionales y 38,4% de los extranjeros). PLAZA gestiona la relación con sus clientes (arrendatarios) a través de un modelo de relacionamiento enfocado en la propuesta de valor y experiencia, evaluando la satisfacción de estos con la medición NPS, donde en 2025 aumentó a 13% (figura 10). Para gestionar emergencias, cada centro cuenta con manuales de emergencias adaptados a los contextos geográficos locales, ejecutando simulacros para prevenir y educar a la comunidad (en 2025 se ejecutaron 52 simulacros) y en cuanto a la privacidad, PLAZA implementó la ISO/IEC 27.001, asegurando la confidencialidad, integridad y disponibilidad de la información ante riesgos cibernéticos.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materia de diversidad, las mujeres representan el 53.2% de la fuerza laboral total, donde ocupan el 42% de los puestos directivos (figura 10), siendo un punto a favor para la empresa en cuanto al balance de trabajadores en la organización, pero hay una brecha salarial entre hombres y mujeres con media de 28% a nivel regional, lo que daña dicho equilibrio organizacional, además en cuanto al directorio, sólo hay una mujer presente en la composición de 9 directores. La meta al 2028 es que el 60% de los establecimientos estén certificados como espacios inclusivos, además PLAZA obtuvo “Sello Mayor” en uno de sus centros urbanos, siendo el primero de Chile en obtenerlo, distinción que certifica la adaptación física y operacional para las personas mayores, estas certificaciones son significativas para la comunidad y es importante que PLAZA al expandirse, construya bajo los parámetros que exige la certificación, evitando costos adicionales de adaptar en el futuro dichas instalaciones, y empiece la transición de los centros existentes a estas condiciones.</w:t>
      </w:r>
    </w:p>
    <w:p>
      <w:pPr>
        <w:keepNext/>
        <w:pBdr>
          <w:bottom w:val="single" w:color="E9004B" w:sz="8" w:space="1"/>
        </w:pBdr>
        <w:spacing w:after="50" w:before="110"/>
        <w:ind w:right="3766"/>
      </w:pPr>
      <w:r>
        <w:rPr>
          <w:rFonts w:ascii="Arial" w:cs="Arial" w:eastAsia="Arial" w:hAnsi="Arial"/>
          <w:b/>
          <w:bCs/>
          <w:color w:val="14284B"/>
          <w:sz w:val="16"/>
          <w:szCs w:val="16"/>
        </w:rPr>
        <w:t xml:space="preserve">GOVERNANCE</w:t>
      </w:r>
    </w:p>
    <w:tbl>
      <w:tblPr>
        <w:tblpPr w:leftFromText="0" w:rightFromText="0" w:topFromText="0" w:bottomFromText="0" w:tblpX="7956" w:tblpY="141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8: </w:t>
            </w:r>
            <w:r>
              <w:rPr>
                <w:rFonts w:ascii="Arial" w:cs="Arial" w:eastAsia="Arial" w:hAnsi="Arial"/>
                <w:color w:val="14284B"/>
                <w:sz w:val="14"/>
                <w:szCs w:val="14"/>
              </w:rPr>
              <w:t xml:space="preserve">Metas ambientales: avance a 2025.</w:t>
            </w:r>
          </w:p>
          <w:p>
            <w:pPr>
              <w:keepNext w:val="false"/>
              <w:spacing w:after="20" w:before="0" w:line="240" w:lineRule="auto"/>
              <w:jc w:val="center"/>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57425" cy="16002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gobierno corporativo se rige bajo los principios del G20 y de la OCDE, alineado con la NCG 461 de la CMF, todo esto busca una gestión transparente con control de riesgos y una estructura sólida para dar seguimiento a la estrategia corporativa y compromisos ESG. </w:t>
      </w:r>
      <w:r>
        <w:rPr>
          <w:rFonts w:ascii="Arial" w:cs="Arial" w:eastAsia="Arial" w:hAnsi="Arial"/>
          <w:b/>
          <w:bCs/>
          <w:i w:val="false"/>
          <w:iCs w:val="false"/>
          <w:color w:val="14284B"/>
          <w:sz w:val="16"/>
          <w:szCs w:val="16"/>
        </w:rPr>
        <w:t xml:space="preserve">Structure of the board of directors and committees:</w:t>
      </w:r>
      <w:r>
        <w:rPr>
          <w:rFonts w:ascii="Arial" w:cs="Arial" w:eastAsia="Arial" w:hAnsi="Arial"/>
          <w:i w:val="false"/>
          <w:iCs w:val="false"/>
          <w:color w:val="1A1A1A"/>
          <w:sz w:val="16"/>
          <w:szCs w:val="16"/>
        </w:rPr>
        <w:t xml:space="preserve"> El Directorio está compuesto por 9 miembros, donde sólo uno es catalogado como independiente, estando por debajo del 50%, lo que genera riesgos de agencia (figura 11 y Anexo 8, figura 8.2) y constituye el único factor desfavorable de la matriz de riesgo ESG (Anexo 8, figura 8.5). Este órgano es el responsable de definir objetivos, estrategias y políticas de PLAZA, mientras que el comité de directores (compuesto por 3 integrantes) busca revisar los balances y estados financieros, buscando mitigar los riesgos de agencia. Ambos órganos en conjunto supervisan la gestión de riesgos dirigida por el comité del equipo ejecutivo y el gerente general. En el último semestre de 2025 el gerente general Fernando de Peña Iver presentó su renuncia, pactando su efectividad al terminar el año, por lo que en 2026 asumió el cargo Pablo Pulido Sierra. </w:t>
      </w:r>
      <w:r>
        <w:rPr>
          <w:rFonts w:ascii="Arial" w:cs="Arial" w:eastAsia="Arial" w:hAnsi="Arial"/>
          <w:b/>
          <w:bCs/>
          <w:i w:val="false"/>
          <w:iCs w:val="false"/>
          <w:color w:val="14284B"/>
          <w:sz w:val="16"/>
          <w:szCs w:val="16"/>
        </w:rPr>
        <w:t xml:space="preserve">Executive compensation: </w:t>
      </w:r>
      <w:r>
        <w:rPr>
          <w:rFonts w:ascii="Arial" w:cs="Arial" w:eastAsia="Arial" w:hAnsi="Arial"/>
          <w:i w:val="false"/>
          <w:iCs w:val="false"/>
          <w:color w:val="1A1A1A"/>
          <w:sz w:val="16"/>
          <w:szCs w:val="16"/>
        </w:rPr>
        <w:t xml:space="preserve">El 33.3% de la remuneración variable de los ejecutivos depende de KPIs ESG, y en total el 61% se asocia a métricas no financieras (figura 11), lo que alinea los incentivos de la gerencia con las metas ESG de PLAZA. </w:t>
      </w:r>
      <w:r>
        <w:rPr>
          <w:rFonts w:ascii="Arial" w:cs="Arial" w:eastAsia="Arial" w:hAnsi="Arial"/>
          <w:b/>
          <w:bCs/>
          <w:i w:val="false"/>
          <w:iCs w:val="false"/>
          <w:color w:val="14284B"/>
          <w:sz w:val="16"/>
          <w:szCs w:val="16"/>
        </w:rPr>
        <w:t xml:space="preserve">Shareholders: </w:t>
      </w:r>
      <w:r>
        <w:rPr>
          <w:rFonts w:ascii="Arial" w:cs="Arial" w:eastAsia="Arial" w:hAnsi="Arial"/>
          <w:i w:val="false"/>
          <w:iCs w:val="false"/>
          <w:color w:val="1A1A1A"/>
          <w:sz w:val="16"/>
          <w:szCs w:val="16"/>
        </w:rPr>
        <w:t xml:space="preserve">PLAZA tiene un modelo de control concentrado, donde es controlado por Falabella S.A. por medio de su filial Desarrollos Inmobiliarios SpA (53.10% de las acciones; Anexo 8, figura 8.1), los minoritarios que tengan el 1% tienen derecho a proponer candidatos de director, los accionistas son el órgano superior encargado de designar al directorio, auditores externos y aprobar políticas de dividendos. </w:t>
      </w:r>
      <w:r>
        <w:rPr>
          <w:rFonts w:ascii="Arial" w:cs="Arial" w:eastAsia="Arial" w:hAnsi="Arial"/>
          <w:b/>
          <w:bCs/>
          <w:i w:val="false"/>
          <w:iCs w:val="false"/>
          <w:color w:val="14284B"/>
          <w:sz w:val="16"/>
          <w:szCs w:val="16"/>
        </w:rPr>
        <w:t xml:space="preserve">Ethics, audits and controls:</w:t>
      </w:r>
      <w:r>
        <w:rPr>
          <w:rFonts w:ascii="Arial" w:cs="Arial" w:eastAsia="Arial" w:hAnsi="Arial"/>
          <w:i w:val="false"/>
          <w:iCs w:val="false"/>
          <w:color w:val="1A1A1A"/>
          <w:sz w:val="16"/>
          <w:szCs w:val="16"/>
        </w:rPr>
        <w:t xml:space="preserve"> El marco ético está respaldado por el código de integridad y el modelo de prevención del delito, para así construir una guía de acción de la organización, además PLAZA opera la plataforma Autocompliance para el registro de reuniones con funcionarios públicos y la gestión de regalos e invitaciones, junto con un canal de integridad confidencial para el reporte de irregularidades sin riesgo para el emisor; en 2025 la empresa reportó casos de incumplimiento y denuncias a nivel regional, relacionados a los trabajadores y clientes, pero ninguna referente a corrupción o que atente al desarrollo del mercado (Anexo 8, sección 3). Bajo supervisión del comité de directores se establece un modelo de control, realizando una auditoría interna reportada al comité mensualmente que monitorea las acciones correctivas, en paralelo el comité debe designar a auditores externos y agencias clasificadoras de riesgo para que analicen la compañía, además de auditar los estados financieros con auditores independientes.</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FINANCIERO</w:t>
      </w:r>
    </w:p>
    <w:p>
      <w:pPr>
        <w:keepNext w:val="false"/>
        <w:shd w:fill="EEF1F6" w:color="auto" w:val="clear"/>
        <w:spacing w:after="80" w:line="228" w:lineRule="auto"/>
        <w:ind w:right="3766"/>
        <w:jc w:val="both"/>
      </w:pPr>
      <w:r>
        <w:rPr>
          <w:rFonts w:ascii="Arial" w:cs="Arial" w:eastAsia="Arial" w:hAnsi="Arial"/>
          <w:b/>
          <w:bCs/>
          <w:color w:val="14284B"/>
          <w:sz w:val="16"/>
          <w:szCs w:val="16"/>
        </w:rPr>
        <w:t xml:space="preserve">El motor de arriendos de Mallplaza crece cerca de 3% real, con un margen EBITDA de 80% y un apalancamiento sobre flujos bajo 2,5x; la utilidad reportada, el crecimiento y el apalancamiento contable sobrestiman ese motor y deben normalizarse antes de proyectar.</w:t>
      </w:r>
    </w:p>
    <w:p>
      <w:pPr>
        <w:keepNext w:val="false"/>
        <w:spacing w:after="30" w:before="40" w:line="228" w:lineRule="auto"/>
      </w:pPr>
      <w:r>
        <w:rPr>
          <w:rFonts w:ascii="Arial" w:cs="Arial" w:eastAsia="Arial" w:hAnsi="Arial"/>
          <w:b/>
          <w:bCs/>
          <w:color w:val="14284B"/>
          <w:sz w:val="14"/>
          <w:szCs w:val="14"/>
        </w:rPr>
        <w:t xml:space="preserve">Figura 13: </w:t>
      </w:r>
      <w:r>
        <w:rPr>
          <w:rFonts w:ascii="Arial" w:cs="Arial" w:eastAsia="Arial" w:hAnsi="Arial"/>
          <w:color w:val="14284B"/>
          <w:sz w:val="14"/>
          <w:szCs w:val="14"/>
        </w:rPr>
        <w:t xml:space="preserve">El ROE normalizado de 8–10% es el retorno real; el ROE reportado depende de la tasación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FFO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neta, reportada</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neto, normalizado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w:t>
            </w:r>
          </w:p>
        </w:tc>
      </w:tr>
    </w:tbl>
    <w:p>
      <w:pPr>
        <w:keepNext w:val="false"/>
        <w:spacing w:after="0" w:before="10" w:line="216" w:lineRule="auto"/>
        <w:jc w:val="both"/>
      </w:pPr>
      <w:r>
        <w:rPr>
          <w:rFonts w:ascii="Arial" w:cs="Arial" w:eastAsia="Arial" w:hAnsi="Arial"/>
          <w:color w:val="5F5F5F"/>
          <w:sz w:val="11"/>
          <w:szCs w:val="11"/>
        </w:rPr>
        <w:t xml:space="preserve">Normalizado = utilidad distribuible (2022A: proxy del equipo; el reajuste UF de 2022 refleja ~13% de inflación). Saldos promedio; la serie parte en 2022 (NIC 40 a valor razonable desde el 1-ene-22). 2026E–2031E: caso base de valoración; balance proyectado desde dic-25 (patrimonio + utilidad reportada − distribuciones ordinarias y adicionales; propiedades revalorizadas al 3% de inflación, impuesto diferido 27%; DFN hasta 3,5x EBITDA en 2031E). Fuente: EEFF Plaza S.A. (CMF), Nota 20e; release 2T26 (FFO); análisis del equipo.</w:t>
      </w:r>
    </w:p>
    <w:p>
      <w:pPr>
        <w:keepNext w:val="false"/>
        <w:spacing w:after="60"/>
      </w:pPr>
    </w:p>
    <w:p>
      <w:pPr>
        <w:keepNext/>
        <w:pBdr>
          <w:bottom w:val="single" w:color="E9004B" w:sz="8" w:space="1"/>
        </w:pBdr>
        <w:spacing w:after="50" w:before="110"/>
        <w:ind w:right="3766"/>
      </w:pPr>
      <w:r>
        <w:rPr>
          <w:rFonts w:ascii="Arial" w:cs="Arial" w:eastAsia="Arial" w:hAnsi="Arial"/>
          <w:b/>
          <w:bCs/>
          <w:color w:val="14284B"/>
          <w:sz w:val="16"/>
          <w:szCs w:val="16"/>
        </w:rPr>
        <w:t xml:space="preserve">La utilidad reportada sigue al tasador; el FFO sigue al negocio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Bajo NIC 40, la revalorización de las propiedades de inversión pasa por resultados. En 2025, una ganancia por valor razonable de CLP 1.447 mil MM (27% del valor inicial de las propiedades, frente a cerca de 2% al año en Parque Arauco y Cencosud Shopping) elevó la utilidad atribuible a CLP 1.431 mil MM (2,2 veces los ingresos) y el ROE reportado a 37,5% (Figura 13). Cerca de dos tercios del alza de 29% en Chile vino de una menor tasa de descuento en la tasación, no de un mayor NOI.</w:t>
      </w:r>
    </w:p>
    <w:tbl>
      <w:tblPr>
        <w:tblpPr w:leftFromText="0" w:rightFromText="0" w:topFromText="0" w:bottomFromText="0" w:tblpX="795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9: </w:t>
            </w:r>
            <w:r>
              <w:rPr>
                <w:rFonts w:ascii="Arial" w:cs="Arial" w:eastAsia="Arial" w:hAnsi="Arial"/>
                <w:color w:val="14284B"/>
                <w:sz w:val="14"/>
                <w:szCs w:val="14"/>
              </w:rPr>
              <w:t xml:space="preserve">Energía renovable y valorización de residuos, 2025.</w:t>
            </w:r>
          </w:p>
          <w:p>
            <w:pPr>
              <w:keepNext w:val="false"/>
              <w:spacing w:after="20" w:before="0" w:line="240" w:lineRule="auto"/>
              <w:jc w:val="center"/>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574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Valorización: porcentaje sobre los residuos no peligrosos; el desglose suma 100% de lo valorizado. 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Sin las ganancias por valor razonable netas de impuesto diferido, la utilidad distribuible auditada fue CLP 369 mil MM y el ROE 9,7%, el más alto de los tres pares locales en base comparable (Anexo 14). El FFO, que reconstruimos desde los estados financieros con 0,02% de diferencia frente a los CLP 405 mil MM reportados (Figura 14), mantuvo un margen de 59–62% en 2022–2025, mientras la utilidad neta varió más de cuatro veces. El FFO excluye el reajuste UF de la deuda (CLP 44 mil MM, 11% del FFO); la utilidad distribuible lo incluye y es nuestra ancla conservadora de utilidades.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Descompuesto, el ROE normalizado de 2025 (9,7%) es un margen neto normalizado de 56,5% por una rotación de activos de apenas 0,097x y un apalancamiento contable de 1,77x. La rotación es baja porque el balance está a valor razonable: cada revalorización infla los activos y el patrimonio sin traer más caja. Por eso proyectamos un ROE normalizado estable en torno a 8%, que solo sube con el apalancamiento y no con la operación.</w:t>
      </w:r>
    </w:p>
    <w:p>
      <w:pPr>
        <w:keepNext/>
        <w:pBdr>
          <w:bottom w:val="single" w:color="E9004B" w:sz="8" w:space="1"/>
        </w:pBdr>
        <w:spacing w:after="50" w:before="110"/>
        <w:ind w:right="3766"/>
      </w:pPr>
      <w:r>
        <w:rPr>
          <w:rFonts w:ascii="Arial" w:cs="Arial" w:eastAsia="Arial" w:hAnsi="Arial"/>
          <w:b/>
          <w:bCs/>
          <w:color w:val="14284B"/>
          <w:sz w:val="16"/>
          <w:szCs w:val="16"/>
        </w:rPr>
        <w:t xml:space="preserve">Dos tercios del crecimiento de 2025 fueron comprados; el orgánico real es cerca de 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subieron 76% entre 2022 y 2025, pero 21,8 pp del 32,2% de 2025 vinieron del perímetro: el portafolio peruano comprado a Falabella, consolidado desde el 4 de diciembre de 2024. Sin Perú, los ingresos crecieron 10,7% en 2025 y 7,1% en 1S26.</w:t>
      </w:r>
    </w:p>
    <w:tbl>
      <w:tblPr>
        <w:tblpPr w:leftFromText="0" w:rightFromText="0" w:topFromText="0" w:bottomFromText="0" w:tblpX="7956" w:tblpY="32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10: </w:t>
            </w:r>
            <w:r>
              <w:rPr>
                <w:rFonts w:ascii="Arial" w:cs="Arial" w:eastAsia="Arial" w:hAnsi="Arial"/>
                <w:color w:val="14284B"/>
                <w:sz w:val="14"/>
                <w:szCs w:val="14"/>
              </w:rPr>
              <w:t xml:space="preserve">Indicadores sociales.</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NPS = % de promotores (notas 9–10) menos % de detractores (0–6). 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Sin moneda ni inflación, el crecimiento reportado de 7,4% en 1S26 baja a cerca de 3,0% real (Figura 15). Chile creció 2,8% tras un reajuste UF de 3,1% (5,1% en 2025); Perú, 4,5% pese a que la ocupación bajó a 93,8%; y Colombia solo cerca de 1% una vez descontadas una apreciación del COP de 7,5% y una inflación de 6,1%.</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crecimiento es contractual, no de ventas. La renta variable es 5,1% de los ingresos y cayó 1,1% en 1S26 mientras las ventas de los locatarios subían 6,7%, porque las rentas mínimas (renta en mismas tiendas +5,5%) crecen más que las ventas (ventas en mismas tiendas +3,7%). Los ingresos se comportan como un bono, pero su crecimiento real converge al 0,4–0,9% que la propia compañía supone para Chile en su tasación.</w:t>
      </w:r>
    </w:p>
    <w:p>
      <w:pPr>
        <w:keepNext/>
        <w:pBdr>
          <w:bottom w:val="single" w:color="E9004B" w:sz="8" w:space="1"/>
        </w:pBdr>
        <w:spacing w:after="50" w:before="110"/>
        <w:ind w:right="3766"/>
      </w:pPr>
      <w:r>
        <w:rPr>
          <w:rFonts w:ascii="Arial" w:cs="Arial" w:eastAsia="Arial" w:hAnsi="Arial"/>
          <w:b/>
          <w:bCs/>
          <w:color w:val="14284B"/>
          <w:sz w:val="16"/>
          <w:szCs w:val="16"/>
        </w:rPr>
        <w:t xml:space="preserve">El margen subió por mix y recuperación de gastos; el apalancamiento operativo se agotó</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margen EBITDA subió de 76,2% en 2022 a 80,5% en 2025 por dos razones. Perú consolida con un margen de segmento de 83%, frente a 80% en Chile y 73% en Colombia. Y el margen de Chile ganó 2,4 pp por una mayor recuperación de gastos comunes, que se presentan netos de costo (Nota 2.20): es real, pero depende de la ocupación y de la negociación con locatarios, así que no es estructural.</w:t>
      </w:r>
    </w:p>
    <w:tbl>
      <w:tblPr>
        <w:tblpPr w:leftFromText="0" w:rightFromText="0" w:topFromText="0" w:bottomFromText="0" w:tblpX="7956" w:tblpY="124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11: </w:t>
            </w:r>
            <w:r>
              <w:rPr>
                <w:rFonts w:ascii="Arial" w:cs="Arial" w:eastAsia="Arial" w:hAnsi="Arial"/>
                <w:color w:val="14284B"/>
                <w:sz w:val="14"/>
                <w:szCs w:val="14"/>
              </w:rPr>
              <w:t xml:space="preserve">Incentivos ESG y composición del Directorio.</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Con el costo de ventas en 6% de los ingresos y costos operativos totales cercanos a 20%, queda poco costo fijo que diluir; con la D&amp;A en 0,7% de los ingresos, el EBIT (CLP 523 mil MM en 2025) sigue al EBITDA. En 1S26 el EBITDA creció 7,4%, en línea con los ingresos, y el margen se mantuvo en 79,7%. Los gastos de administración subieron 18,1% por remuneraciones (+18,9%: transición del gerente general y un año completo de Perú), un gasto en incobrables que se recupera desde una base 2025 favorecida por recuperaciones (0,64% de los ingresos, bajo el 1,22% de 2024) y un impuesto al patrimonio único en Colombia de CLP 1,7 mil MM. Sin estos dos últimos, el margen de 1S26 sería 80,4%, 0,7 pp más.</w:t>
      </w:r>
    </w:p>
    <w:p>
      <w:pPr>
        <w:keepNext/>
        <w:pBdr>
          <w:bottom w:val="single" w:color="E9004B" w:sz="8" w:space="1"/>
        </w:pBdr>
        <w:spacing w:after="50" w:before="110"/>
        <w:ind w:right="3766"/>
      </w:pPr>
      <w:r>
        <w:rPr>
          <w:rFonts w:ascii="Arial" w:cs="Arial" w:eastAsia="Arial" w:hAnsi="Arial"/>
          <w:b/>
          <w:bCs/>
          <w:color w:val="14284B"/>
          <w:sz w:val="16"/>
          <w:szCs w:val="16"/>
        </w:rPr>
        <w:t xml:space="preserve">La caja cubre el dividendo 2,6x; el techo es la política, no la liquidez</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flujo operativo subió de CLP 301 mil MM en 2024 a CLP 441 mil MM en 2025, convirtiendo 98,7% del EBITDA antes de impuestos. El impuesto pagado fue solo 15% del resultado operacional, protegido por goodwill tributario de reorganizaciones en Chile y pérdidas tributarias (Nota 13), y subirá hacia la tasa legal de 27%. Después de capex e intereses netos, el flujo de caja libre antes del servicio de la deuda fue CLP 280 mil MM y cubrió los dividendos 2,6x (Figura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salto de 38,6% del flujo operativo en 1S26 no es capacidad de generación: el 59% corresponde a cobranzas de diciembre que se revierten vía capital de trabajo. Los días de cobro bajaron de 66 a 50, sin señales de peor recaudación.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política de dividendos reparte 40% de la utilidad distribuible con un año de rezago, por lo que la caja retenida es alta: CLP 171,6 mil MM en 2025. En el caso base, el FFO sube de CLP 428,5 mil MM en 2026E a 501,6 mil MM en 2031E y los dividendos ordinarios de CLP 147,7 a 172,6 mil MM; la caja restante, junto con la deuda nueva, financia el capex y las distribuciones adicionales (Anexo 13).</w:t>
      </w:r>
    </w:p>
    <w:tbl>
      <w:tblPr>
        <w:tblpPr w:leftFromText="0" w:rightFromText="0" w:topFromText="0" w:bottomFromText="0" w:tblpX="7956" w:tblpY="73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14: </w:t>
            </w:r>
            <w:r>
              <w:rPr>
                <w:rFonts w:ascii="Arial" w:cs="Arial" w:eastAsia="Arial" w:hAnsi="Arial"/>
                <w:color w:val="14284B"/>
                <w:sz w:val="14"/>
                <w:szCs w:val="14"/>
              </w:rPr>
              <w:t xml:space="preserve">Sin revalorizaciones ni partidas no monetarias, CLP 1.441 mil MM de utilidad se vuelven CLP 408 mil MM de FFO (CLP mil MM)</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Celeste suma, rojo resta, azul = totales. Tras minoritarios (CLP 2,8 mil MM), el FFO atribuible es CLP 405,2 mil MM vs 405,3 reportado. Fuente: EEFF Plaza S.A. (CMF) 2025, Notas 13.1 y 23;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está subiendo. Los compromisos contractuales de inversión aumentaron a CLP 78 mil MM en junio de 2026 desde CLP 18 mil MM en diciembre de 2025, y el capex en propiedades de 1S26 fue CLP 81 mil MM (+176%). El caso base financia los USD 445 MM restantes del pipeline en 2026–2028 y luego sigue agregando cerca de 27.000 m² de GLA al año, el ritmo orgánico de 2022–2025, por lo que el capex se estabiliza cerca de 16% de los ingresos y no en el piso de mantención de 5,5% (Figura 19).</w:t>
      </w:r>
    </w:p>
    <w:p>
      <w:pPr>
        <w:keepNext/>
        <w:pBdr>
          <w:bottom w:val="single" w:color="E9004B" w:sz="8" w:space="1"/>
        </w:pBdr>
        <w:spacing w:after="50" w:before="110"/>
        <w:ind w:right="3766"/>
      </w:pPr>
      <w:r>
        <w:rPr>
          <w:rFonts w:ascii="Arial" w:cs="Arial" w:eastAsia="Arial" w:hAnsi="Arial"/>
          <w:b/>
          <w:bCs/>
          <w:color w:val="14284B"/>
          <w:sz w:val="16"/>
          <w:szCs w:val="16"/>
        </w:rPr>
        <w:t xml:space="preserve">Los indicadores de flujo justifican el AAA; los ratios contables lo exageran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LTV bajó de 26,9% a 18,8% en 2025, pero 5,0 pp de la caída de 8,0 pp vinieron de revalorizar el denominador; con las propiedades al valor de 2024 más las adiciones, el LTV habría sido 23,8% (Figura 17). Los indicadores de flujo son el lente honesto y respaldan el alza de Feller Rate a AAA (25 de septiembre de 2026): la DFN/EBITDA bajó de 3,78x a 2,36x con el EBITDA UDM de junio de 2026 (la cifra de 2024 incluye solo un mes de Perú), y el EBITDA cubre 8,4x los costos financieros.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deuda bruta de CLP 1.633 mil MM está 79% en UF, 14% en PEN y 7% en COP, en línea con las monedas de los ingresos; el 95% es de largo plazo, con una duración de 6,6 años. Los bonos en UF pagan un cupón real de 3,36% (3,48% efectivo), pero con el reajuste UF el costo nominal total fue cercano a 7% en 2025. Los vencimientos se concentran en 2029, 2031 y 2033 (Figura 18); refinanciar la serie S (1,32% efectivo) a la tasa de la última emisión (4,33%) sumaría cerca de CLP 4,9 mil MM al año. La liquidez es holgada: a junio de 2026 la razón corriente era 2,50x y la caja cubría 1,71x los pasivos corrientes.</w:t>
      </w:r>
    </w:p>
    <w:tbl>
      <w:tblPr>
        <w:tblpPr w:leftFromText="0" w:rightFromText="0" w:topFromText="0" w:bottomFromText="0" w:tblpX="7956" w:tblpY="55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21: </w:t>
            </w:r>
            <w:r>
              <w:rPr>
                <w:rFonts w:ascii="Arial" w:cs="Arial" w:eastAsia="Arial" w:hAnsi="Arial"/>
                <w:color w:val="14284B"/>
                <w:sz w:val="14"/>
                <w:szCs w:val="14"/>
              </w:rPr>
              <w:t xml:space="preserve">A CLP 3.555 la firma rinde casi lo mismo que su deuda</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Tasas reales en UF. Fuente: BCCh (30-06-26); Mallplaza;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Hay un pasivo que no aparece en el LTV: los impuestos diferidos, CLP 1.313,7 mil MM a junio de 2026, casi 80% de la deuda financiera bruta. Nacen casi por completo de la revalorización de las propiedades; no son deuda que se pague, pero muestran cuánto del patrimonio contable de CLP 4.820,9 mil MM es tasación y no caja (Anexo 10). Frente a sus pares el balance es conservador: LTV de 18,8% contra 42,9% de Parque Arauco y 16,3% de Cencosud Shopping, y DFN/EBITDA de 2,49x contra 5,68x y 2,11x (Anexo 14).</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Nuestro caso base usa esa holgura. La DFN/EBITDA converge linealmente de 2,36x a 3,5x a fines de 2031E, entre Cencosud Shopping (2,1x) y Parque Arauco (5,7x), y cada vuelta adicional suma 25 pb al costo real de la deuda. La caja por sobre el payout de 40% y el plan de capex se devuelve con recompras o dividendos extraordinarios: CLP 1,8 billones acumulados en 2S26E–2031E (Anexo 13). Con 3,5x, el nuevo AAA probablemente quedaría bajo presión.</w:t>
      </w:r>
    </w:p>
    <w:p>
      <w:pPr>
        <w:keepNext/>
        <w:pBdr>
          <w:bottom w:val="single" w:color="E9004B" w:sz="8" w:space="1"/>
        </w:pBdr>
        <w:spacing w:after="50" w:before="110"/>
        <w:ind w:right="3766"/>
      </w:pPr>
      <w:r>
        <w:rPr>
          <w:rFonts w:ascii="Arial" w:cs="Arial" w:eastAsia="Arial" w:hAnsi="Arial"/>
          <w:b/>
          <w:bCs/>
          <w:color w:val="14284B"/>
          <w:sz w:val="16"/>
          <w:szCs w:val="16"/>
        </w:rPr>
        <w:t xml:space="preserve">El forecast proyecta lo que respalda la historia, incluido el ritmo de expansión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crecen 7,7% en 2026E y 5,0% en 2031E (CAGR 2026E–2031E de 6,4%), a medida que el crecimiento real en mismas tiendas converge a los puntos medios de la tasación, maduran los 123.700 m² del pipeline con fecha y, desde 2029E, abren cerca de 27.000 m² al año al ritmo histórico (Figura 19); los ingresos 2026E y 2027E quedan a menos de 0,6% del consenso. El margen EBITDA se mantiene en 79,7–79,8%, bajo el máximo de 2025. El impuesto en caja se normaliza de 16,8% a 27% hacia 2030E y los costos financieros suben con el apalancamiento, por lo que el margen FFO baja de 60,9% a 52,2%. El capital de trabajo se mantiene en 15,6% de los ingresos, el nivel de diciembre de 2025 (Anexo 9). El GLA nuevo rinde 6,9% sobre el costo, un retorno real de 5,0% después de impuestos frente a una WACC real de 7,2%: la expansión suma ingresos, pero no valor.</w:t>
      </w:r>
    </w:p>
    <w:tbl>
      <w:tblPr>
        <w:tblpPr w:leftFromText="0" w:rightFromText="0" w:topFromText="0" w:bottomFromText="0" w:tblpX="7956" w:tblpY="-63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15: </w:t>
            </w:r>
            <w:r>
              <w:rPr>
                <w:rFonts w:ascii="Arial" w:cs="Arial" w:eastAsia="Arial" w:hAnsi="Arial"/>
                <w:color w:val="14284B"/>
                <w:sz w:val="14"/>
                <w:szCs w:val="14"/>
              </w:rPr>
              <w:t xml:space="preserve">Dos tercios del crecimiento 2025 fueron comprados; en 1S26 la moneda y la inflación explican más de la mitad</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Segmentos separados en forma multiplicativa (real × inflación × moneda) desde el crecimiento en moneda local (Chile 6,1%, Perú 7,9%, Colombia 7,3%); consolidado ponderado por ingresos 2025. Fuente: EEFF intermedios (CMF), Nota 24; UF (SII/BCCh); Bloomberg; INEI; DANE; análisis del equipo.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Lo que esto significa para la valoración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análisis deja tres conclusiones para el modelo. Primero, la base de utilidades correcta es la caja: usamos el EBITDA de la compañía, que elimina una sola vez la revalorización (Anexo 12), y la utilidad distribuible como ancla, no la utilidad contable de CLP 1.431 mil MM. Segundo, la calidad del negocio no está en duda: Mallplaza tiene el ROE normalizado más alto de sus pares locales (9,7% frente a 7,8% de Parque Arauco y 8,0% de Cencosud Shopping) con un LTV de solo 18,8% (Anexo 14).</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Tercero, el retorno sobre el capital a valor razonable es bajo. El ROIC de 2025, con NOPAT al 27% sobre el capital invertido a valor de tasación, fue 7,3% (Anexo 11), por debajo de una WACC nominal de 10,4%: las propiedades valen en libros más de lo que sus flujos justifican a nuestra tasa. Al precio actual, el FFO 2026E de CLP 428,5 mil MM rinde 5,5% sobre el valor de mercado (18x FFO) y la utilidad distribuible 4,9%: el mercado paga por estos flujos como si fueran casi libres de riesgo. Esa es la brecha que cuantifica la sección de Valuación. En suma: un negocio de alta calidad, con caja predecible y un balance holgado, cuyo precio ya descuenta más de lo que esos flujos pueden entregar.</w:t>
      </w:r>
    </w:p>
    <w:tbl>
      <w:tblPr>
        <w:tblpPr w:leftFromText="0" w:rightFromText="0" w:topFromText="0" w:bottomFromText="0" w:tblpX="7956" w:tblpY="57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16: </w:t>
            </w:r>
            <w:r>
              <w:rPr>
                <w:rFonts w:ascii="Arial" w:cs="Arial" w:eastAsia="Arial" w:hAnsi="Arial"/>
                <w:color w:val="14284B"/>
                <w:sz w:val="14"/>
                <w:szCs w:val="14"/>
              </w:rPr>
              <w:t xml:space="preserve">El flujo de caja libre cubre los dividendos 1,5–2,6x aun con más capex (2025, CLP mil MM)</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Estado de flujos (método directo; intereses pagados en financiamiento). FCF antes de amortizaciones. Capex = propiedades de inversión + intangibles + PP&amp;E (15,8% de los ingresos en 2025; 24,8% en 1S26). Fuente: EEFF Plaza S.A. (CMF); análisis del equipo.</w:t>
            </w:r>
          </w:p>
        </w:tc>
      </w:tr>
    </w:tbl>
    <w:p>
      <w:pPr>
        <w:keepNext/>
        <w:pBdr>
          <w:bottom w:val="single" w:color="14284B" w:sz="18" w:space="2"/>
        </w:pBdr>
        <w:spacing w:after="80" w:before="120"/>
        <w:ind w:right="3766"/>
      </w:pPr>
      <w:r>
        <w:rPr>
          <w:rFonts w:ascii="Arial" w:cs="Arial" w:eastAsia="Arial" w:hAnsi="Arial"/>
          <w:b/>
          <w:bCs/>
          <w:color w:val="14284B"/>
          <w:sz w:val="30"/>
          <w:szCs w:val="30"/>
        </w:rPr>
        <w:t xml:space="preserve">VALUACIÓN</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Recomendamos VENDER Mallplaza con un precio objetivo de CLP 2.076 por acción, 41,6% bajo el cierre de CLP 3.555 del 30-sep-26 (−39,7% de retorno total con dividendos). Nuestro precio objetivo queda incluso bajo el mínimo de las últimas 52 semanas (CLP 2.470).</w:t>
      </w:r>
    </w:p>
    <w:p>
      <w:pPr>
        <w:keepNext/>
        <w:pBdr>
          <w:bottom w:val="single" w:color="E9004B" w:sz="8" w:space="1"/>
        </w:pBdr>
        <w:spacing w:after="50" w:before="110"/>
        <w:ind w:right="3766"/>
      </w:pPr>
      <w:r>
        <w:rPr>
          <w:rFonts w:ascii="Arial" w:cs="Arial" w:eastAsia="Arial" w:hAnsi="Arial"/>
          <w:b/>
          <w:bCs/>
          <w:color w:val="14284B"/>
          <w:sz w:val="16"/>
          <w:szCs w:val="16"/>
        </w:rPr>
        <w:t xml:space="preserve">UN PRECIO QUE NINGÚN MÉTODO ALCANZA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doce meses la acción subió de CLP 2.470 a 4.700 y hoy cotiza en CLP 3.555. Ninguno de nuestros métodos llega a ese precio: el DCF va de CLP 1.379 a 2.329 aun moviendo la WACC ±100 pb y g entre 2,5% y 4,0% (nominales), y los múltiplos más favorables tampoco lo alcanzan (Figura 20).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tbl>
      <w:tblPr>
        <w:tblpPr w:leftFromText="0" w:rightFromText="0" w:topFromText="0" w:bottomFromText="0" w:tblpX="7956" w:tblpY="49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19: </w:t>
            </w:r>
            <w:r>
              <w:rPr>
                <w:rFonts w:ascii="Arial" w:cs="Arial" w:eastAsia="Arial" w:hAnsi="Arial"/>
                <w:color w:val="14284B"/>
                <w:sz w:val="14"/>
                <w:szCs w:val="14"/>
              </w:rPr>
              <w:t xml:space="preserve">Tras el pipeline, la expansión mantiene el capex cerca de CLP 150 mil MM al año mientras el apalancamiento sube a 3,5x</w:t>
            </w:r>
          </w:p>
          <w:p>
            <w:pPr>
              <w:keepNext w:val="false"/>
              <w:spacing w:after="20" w:before="0" w:line="240" w:lineRule="auto"/>
              <w:jc w:val="center"/>
            </w:pPr>
            <w:r>
              <w:drawing>
                <wp:inline distT="0" distB="0" distL="0" distR="0">
                  <wp:extent cx="8953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953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2026E incluye CLP 84,2 mil MM gastados en 1S26; el apalancamiento 2024A incluye un mes de EBITDA de Perú. Fuente: EEFF (CMF); release 2T26 (pipeline); caso base de valoración (Anexos 9 y 13).</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Figura 20 resume la tesis en una imagen. El APV, que valora la empresa sin deuda y suma aparte los escudos fiscales, da CLP 1.894,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p>
      <w:pPr>
        <w:keepNext/>
        <w:pBdr>
          <w:bottom w:val="single" w:color="E9004B" w:sz="8" w:space="1"/>
        </w:pBdr>
        <w:spacing w:after="50" w:before="110"/>
        <w:ind w:right="3766"/>
      </w:pPr>
      <w:r>
        <w:rPr>
          <w:rFonts w:ascii="Arial" w:cs="Arial" w:eastAsia="Arial" w:hAnsi="Arial"/>
          <w:b/>
          <w:bCs/>
          <w:color w:val="14284B"/>
          <w:sz w:val="16"/>
          <w:szCs w:val="16"/>
        </w:rPr>
        <w:t xml:space="preserve">LA HISTORIA ESTÁ EN LA TASA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Proyectamos el flujo de caja libre de la firma en CLP nominales desde el 30-jun-26, con horizonte explícito hasta 2031E y un valor terminal que explica el 76% del EV (Anexo 15). Los CLP 1.857 por acción son CLP 583 de flujos explícitos y CLP 1.884 de valor terminal, menos CLP 610 de deuda y minoritarios: el resultado depende, sobre todo, de la tasa de descuento.</w:t>
      </w:r>
    </w:p>
    <w:tbl>
      <w:tblPr>
        <w:tblpPr w:leftFromText="0" w:rightFromText="0" w:topFromText="0" w:bottomFromText="0" w:tblpX="7956" w:tblpY="142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17: </w:t>
            </w:r>
            <w:r>
              <w:rPr>
                <w:rFonts w:ascii="Arial" w:cs="Arial" w:eastAsia="Arial" w:hAnsi="Arial"/>
                <w:color w:val="14284B"/>
                <w:sz w:val="14"/>
                <w:szCs w:val="14"/>
              </w:rPr>
              <w:t xml:space="preserve">Dos tercios de la caída del LTV en 2025 son revalorización, no desapalancamiento</w:t>
            </w:r>
          </w:p>
          <w:p>
            <w:pPr>
              <w:keepNext w:val="false"/>
              <w:spacing w:after="20" w:before="0" w:line="240" w:lineRule="auto"/>
              <w:jc w:val="center"/>
            </w:pPr>
            <w:r>
              <w:drawing>
                <wp:inline distT="0" distB="0" distL="0" distR="0">
                  <wp:extent cx="13144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3144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LTV = DFN / propiedades de inversión. Deuda y adiciones = LTV con propiedades al valor 2024 más adiciones 2025 (23,8%). Ratios jun-26 sobre EBITDA UDM. Fuente: EEFF (CMF), Notas 11 y 26; Análisis Razonado 2025 y 1S26;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1,40 billones) financia todo el capex mientras la caja operativa se distribuye a los accionistas. Así, la WACC nominal pasa de 10,54% en 2S26E a 10,41% en el terminal (7,20% real): un Ke nominal de 11,93% (8,67% real; Rf 4,98%, beta re-apalancada de 1,14 desde una mediana de seis pares de 0,94, ERP 4,14% y CRP de 1,41% ponderado por ingresos) y un Kd nominal de 5,11% después de impuestos, basado en el cupón real de 3,6% (UF) de la última emisión (Anexo 19).</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Construimos el Ke en dólares porque sus tres insumos están en esa moneda y son nominales: la Rf del Tesoro de EE.UU., la prima por riesgo de mercado implícita que publica Damodaran y el riesgo país, que ponderamos por ingresos. Luego lo llevamos a pesos con el diferencial entre la inflación esperada de Chile (3,0%, meta del BCCh) y la de EE.UU. (2,24%, breakeven a 10 años). La beta se desapalanca con Hamada (seis pares regionales) y se re-apalanca cada período (1,09 en 2S26E, 1,14 en el terminal).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primera señal es la TIR del activo, lo que rinde la empresa a quien la compra a CLP 3.555 si se cumplen nuestros flujos: 7,57% nominal (4,44% real en UF), 284 pb bajo su WACC y apenas ~80 pb reales sobre el costo real de su deuda (Figura 21).</w:t>
      </w:r>
    </w:p>
    <w:p>
      <w:pPr>
        <w:keepNext/>
        <w:pBdr>
          <w:bottom w:val="single" w:color="E9004B" w:sz="8" w:space="1"/>
        </w:pBdr>
        <w:spacing w:after="50" w:before="110"/>
        <w:ind w:right="3766"/>
      </w:pPr>
      <w:r>
        <w:rPr>
          <w:rFonts w:ascii="Arial" w:cs="Arial" w:eastAsia="Arial" w:hAnsi="Arial"/>
          <w:b/>
          <w:bCs/>
          <w:color w:val="14284B"/>
          <w:sz w:val="16"/>
          <w:szCs w:val="16"/>
        </w:rPr>
        <w:t xml:space="preserve">CRECER NO RESCATA EL PRECIO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No es que seamos pesimistas con la operación. Proyectamos un margen EBITDA de 79,7% en 2026E (sin revalorizaciones, bajo el 80,5% UDM), un impuesto que converge de 16,8% a 27%, el pipeline anunciado (USD 613 MM y 170.200 m²) y, desde 2029, 27.075 m² nuevos al año, al ritmo histórico. El consenso de 13 analistas espera un EBITDA a 12 meses apenas ~3% sobre el nuestro: la diferencia con el mercado no está en los flujos.</w:t>
      </w:r>
    </w:p>
    <w:tbl>
      <w:tblPr>
        <w:tblpPr w:leftFromText="0" w:rightFromText="0" w:topFromText="0" w:bottomFromText="0" w:tblpX="7956" w:tblpY="45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18: </w:t>
            </w:r>
            <w:r>
              <w:rPr>
                <w:rFonts w:ascii="Arial" w:cs="Arial" w:eastAsia="Arial" w:hAnsi="Arial"/>
                <w:color w:val="14284B"/>
                <w:sz w:val="14"/>
                <w:szCs w:val="14"/>
              </w:rPr>
              <w:t xml:space="preserve">El riesgo de refinanciamiento está en 2029, 2031 y 2033, no en el corto plazo</w:t>
            </w:r>
          </w:p>
          <w:p>
            <w:pPr>
              <w:keepNext w:val="false"/>
              <w:spacing w:after="20" w:before="0" w:line="240" w:lineRule="auto"/>
              <w:jc w:val="center"/>
            </w:pPr>
            <w:r>
              <w:drawing>
                <wp:inline distT="0" distB="0" distL="0" distR="0">
                  <wp:extent cx="12001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2001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Bonos en UF, valor libro dic-25 (total CLP 1.277,7 mil MM); etiqueta = tasa real efectiva (años con dos series: promedio ponderado). Excluye CLP 301,6 mil MM de deuda bancaria en PEN/COP. Fuente: EEFF dic-25, Nota 14;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sigue el plan de la compañía: el pipeline y la mantención (5,5% de los ingresos) llevan el capex base a un máximo de CLP 240.660 MM en 2027, y la expansión continua suma entre CLP 95.000 y 104.000 MM al año desde 2028, al costo del pipeline identificado (USD 3.603 por m²) y con una rampa de ingresos de 35%, 90% y 100%. El capital de trabajo, en 15,6% de los ingresos, exige CLP 7.100–9.900 MM al año y mueve el precio en ±1,2% (Figura 22; Anexo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Es ahorro de caja real (baja el impuesto corriente), no contable: CLP 61 por acción sin descontar; sin él el objetivo baja 2,1% (Figura 22). Y el capital de trabajo crece con los ingresos, no con los m² nuevos.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problema es el retorno de crecer. Cada m² nuevo rinde 6,9% real antes de impuestos sobre su costo, un RONIC real de 5,0% después de impuestos, bajo una WACC real de 7,2%. La TIR de un m² nuevo, con capex, rampa, mantención y capital de trabajo, es 4,62% real (7,76% nominal): 257 pb bajo la WACC real y 265 pb bajo la nominal. La expansión suma ingresos, pero no valor: por eso el valor terminal crece solo con la inflación (g de 3,0% nominal, 0% real) y un g mayor reduce el valor (Figura 23). Suponer más crecimiento no cerraría la brecha con el precio; la agrandaría.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Por eso el horizonte explícito incluye el capex y la maduración de los proyectos que abren hasta 2032 (108.301 m² de GLA madura en el año terminal), pero desde ahí el modelo no agrega centros comerciales: el capex terminal cubre solo la mantención (5,5% de los ingresos).</w:t>
      </w:r>
    </w:p>
    <w:tbl>
      <w:tblPr>
        <w:tblpPr w:leftFromText="0" w:rightFromText="0" w:topFromText="0" w:bottomFromText="0" w:tblpX="7956" w:tblpY="-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20: </w:t>
            </w:r>
            <w:r>
              <w:rPr>
                <w:rFonts w:ascii="Arial" w:cs="Arial" w:eastAsia="Arial" w:hAnsi="Arial"/>
                <w:color w:val="14284B"/>
                <w:sz w:val="14"/>
                <w:szCs w:val="14"/>
              </w:rPr>
              <w:t xml:space="preserve">Ningún método justifica el precio actual (CLP por acción)</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Rango de 52 semanas intradía (01-10-25 a 30-09-26; mínimo 10-10-25, máximo 27-04-26). Fuente: análisis del equipo; Bloomberg.</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LOS PARES CONFIRMAN LA DIRECCIÓN, NO LA MAGNITUD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 (rendimiento EBITDA/EV; con rentas reajustadas por UF se compara con tasas reales) sobre la tasa local es parecido en ambos países, 385 pb en Chile y 302 pb en Brasil (Figura 24). Por eso ponderamos 70% la mediana chilena y 30% la del set común (que incluye IRSA; excluimos Fibra Danhos por su régimen FIBRA): 14,4x, que lleva a CLP 2.951 por acción. La ponderación pesa poco: entre 0% y 100% Chile, el precio objetivo solo va de CLP 1.916 a 2.144 (Anexo 17).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contexto macro explica la diferencia. Al 30-jun-26 Brasil tenía una Selic nominal de 14,25%, un bono nominal a 10 años de 14,34% e inflación esperada de 5,3% para 2026, frente a una TPM nominal de 4,5%, un bono nominal de 5,43% y 4,1% de inflación en Chile, con crecimientos reales del PIB parecidos (2,0% y 1,6%). Un inversionista en Brasil exige más a cualquier activo, no solo a los centros comerciales; aplicar ese descuento a Mallplaza, que genera el 71,8% de sus ingresos en Chile, sería castigarla por un riesgo que no corre.</w:t>
      </w:r>
    </w:p>
    <w:tbl>
      <w:tblPr>
        <w:tblpPr w:leftFromText="0" w:rightFromText="0" w:topFromText="0" w:bottomFromText="0" w:tblpX="7956" w:tblpY="28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22: </w:t>
            </w:r>
            <w:r>
              <w:rPr>
                <w:rFonts w:ascii="Arial" w:cs="Arial" w:eastAsia="Arial" w:hAnsi="Arial"/>
                <w:color w:val="14284B"/>
                <w:sz w:val="14"/>
                <w:szCs w:val="14"/>
              </w:rPr>
              <w:t xml:space="preserve">Con todos los supuestos fuertes a favor el objetivo llega a CLP 2.928, aún 18% bajo el precio</w:t>
            </w:r>
          </w:p>
          <w:p>
            <w:pPr>
              <w:keepNext w:val="false"/>
              <w:spacing w:after="20" w:before="0" w:line="240" w:lineRule="auto"/>
              <w:jc w:val="center"/>
            </w:pPr>
            <w:r>
              <w:drawing>
                <wp:inline distT="0" distB="0" distL="0" distR="0">
                  <wp:extent cx="1143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14300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Cascada acumulada en el orden mostrado; la tabla da el efecto de cada supuesto solo. Precio objetivo = 80% DCF + 20% múltiplos. Fuente: réplica del DCF v3;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Elegimos el set con el mismo criterio que la beta. IRSA se mantiene con cautela, porque reporta bajo NIC 29 y su consenso NTM tiene un solo analista; Fibra Danhos queda fuera porque, como FIBRA, debe repartir el 95% de su resultado fiscal y no tiene beta en la WACC. Usamos EV/EBITDA porque es neutral al apalancamiento y a la revalorización (NIC 40), y medimos a todos con la deuda neta de Bloomberg (CLP 1.311.569 MM para Mallplaza, cerca de los CLP 1.285.740 MM de DFN que usa el DCF).</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Tampoco la calidad justifica la prima. Mallplaza transa 29% sobre Cencosud Shopping, pero su EBITDA por m² es solo 1,8% mayor (ver Industria); solo al múltiplo de Parque Arauco (18,4x), que opera con 5,7x de deuda, valdría más que su precio. Todos los múltiplos, del EV/EBITDA NTM (CLP 2.914) al P/BV (CLP 3.171), quedan bajo el precio (Figura 25): confirman que la acción está cara, y la magnitud la da el DCF. Excluimos el P/E (CLP 8.644), distorsionado por la revalorización de propiedades.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Puesto en precios: a la mediana chilena por sí sola la acción valdría CLP 3.294 (−7%); al múltiplo de Cencosud, CLP 2.621; y solo al de Parque Arauco, CLP 3.967. Para defender CLP 3.555 con múltiplos hay que suponer que Mallplaza merece la valoración del par más apalancado del grupo. Con flujos esperados ocurre lo mismo: transa a 14,8x el EBITDA NTM de consenso, frente a 12,5x del múltiplo ponderado de pares.</w:t>
      </w:r>
    </w:p>
    <w:p>
      <w:pPr>
        <w:keepNext/>
        <w:pBdr>
          <w:bottom w:val="single" w:color="E9004B" w:sz="8" w:space="1"/>
        </w:pBdr>
        <w:spacing w:after="50" w:before="110"/>
        <w:ind w:right="3766"/>
      </w:pPr>
      <w:r>
        <w:rPr>
          <w:rFonts w:ascii="Arial" w:cs="Arial" w:eastAsia="Arial" w:hAnsi="Arial"/>
          <w:b/>
          <w:bCs/>
          <w:color w:val="14284B"/>
          <w:sz w:val="16"/>
          <w:szCs w:val="16"/>
        </w:rPr>
        <w:t xml:space="preserve">LO QUE EL MERCADO TENDRÍA QUE CREER</w:t>
      </w:r>
    </w:p>
    <w:tbl>
      <w:tblPr>
        <w:tblpPr w:leftFromText="0" w:rightFromText="0" w:topFromText="0" w:bottomFromText="0" w:tblpX="7956" w:tblpY="8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Crecer bajo la WACC destruye valor: g real = 0%</w:t>
            </w:r>
          </w:p>
          <w:p>
            <w:pPr>
              <w:keepNext w:val="false"/>
              <w:spacing w:after="20" w:before="0" w:line="240" w:lineRule="auto"/>
              <w:jc w:val="center"/>
            </w:pPr>
            <w:r>
              <w:drawing>
                <wp:inline distT="0" distB="0" distL="0" distR="0">
                  <wp:extent cx="16478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478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Arriba: valor DCF según g. Abajo: valor terminal relativo según el RONIC. Fuente: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precio implica un EV de CLP 9,12 billones, 69% sobre el nuestro, y un cap rate real de 6,0%, frente a 10,1% en nuestro DCF, 6,4% en los pares chilenos y 7,5% a valor libro (Figura 26). El mercado paga 1,61 veces un patrimonio que ya está a valor razonable, tasado con una tasa de descuento real de ~5,55% (Nota 11); la TIR real que deja el precio, 4,4%, queda bajo esa tasa: paga más que los propios tasadores. Para justificar CLP 3.555 la WACC nominal tendría que ser 285 pb menor (7,56%; Figura 27); incluso con la tasa de los tasadores (5,55% real, 8,72% nominal), el DCF sería CLP 2.660.</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Llevamos la tesis a sus extremos. En un caso bear (WACC nominal +100 pb y el margen trimestral mínimo de 75,8%) el precio objetivo cae a CLP 1.713; en un caso bull que suma WACC nominal −100 pb, g nominal de 2,5%, el margen trimestral máximo de 81,3% y la rebaja del impuesto a 23%, sube a CLP 2.627, todavía 26% bajo el precio. El APV (CLP 1.894), una Rf basada en el bono en pesos (~CLP 2.439) y otros objetivos de deuda (DCF de CLP 1.819 a 1.894) llevan a la misma conclusión (Anexo 18). La TIR de la firma al precio de mercado casi no cambia entre escenarios (7,3%, 7,6% y 7,9% nominal en bear, base y bull; 4,2%, 4,4% y 4,7% real) y queda siempre bajo la WACC de cada uno (409, 284 y 152 pb nominales): ni el bull deja margen de seguridad.</w:t>
      </w:r>
    </w:p>
    <w:tbl>
      <w:tblPr>
        <w:tblpPr w:leftFromText="0" w:rightFromText="0" w:topFromText="0" w:bottomFromText="0" w:tblpX="7956" w:tblpY="28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Chile y Brasil cobran la misma prima: los múltiplos difieren por las tasas</w:t>
            </w:r>
          </w:p>
          <w:p>
            <w:pPr>
              <w:keepNext w:val="false"/>
              <w:spacing w:after="20" w:before="0" w:line="240" w:lineRule="auto"/>
              <w:jc w:val="center"/>
            </w:pPr>
            <w:r>
              <w:drawing>
                <wp:inline distT="0" distB="0" distL="0" distR="0">
                  <wp:extent cx="1171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71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 real: UF 10 años (BCCh) y NTN-B 2035 (8,08%) al 30-06-26. Spread = cap rate (1 / EV/EBITDA) − bono real. IRSA se omite (NIC 29). Fuente: Bloomberg; BCCh;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APV también dice cuánto vale de verdad la deuda. De sus CLP 1.894 por acción, CLP 1.632 corresponden a la empresa sin deuda y CLP 261 a los escudos fiscales de la deuda proyectada: la estrategia de apalancarse hasta 3,5x agrega valor, pero ni sumándola se acerca al precio. Y la elección de la tasa libre de riesgo es la conservadora: usar el bono nominal en pesos (5,43%) y además sumar el riesgo país contaría dos veces el riesgo Chile, y aun así el precio objetivo solo subiría a ~CLP 2.439, 31% bajo el precio.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Tampoco cambian el resultado los detalles de calendario. Con un dividendo esperado de ~CLP 69 por acción (2,0%), el retorno total esperado es −39,7%. Y como el DCF está al 30-jun-26 y el precio al 30-sep-26, la comparación es levemente favorable al mercado: si el saldo del dividendo 2026 (~CLP 27 por acción) ya se pagó antes de esa fecha, nuestro valor estaría algo sobrestimado, no subestimado.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Así llegamos a CLP 2.076 (80% × 1.857 + 20% × 2.951): 10,8x EBITDA, un cap rate real de 9,3% y 0,94x el valor libro. Llevar el DCF al 30-sep-26 lo subiría a ~CLP 2.118, sin cambiar la recomendación. El catalizador es el mismo que sostiene la tesis: con el UST 10Y nominal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 que vigilaremos: la tasación de la Nota 11 en cada cierre (la tasa real de descuento es el puente entre nuestro valor y el libro), el spread del bono UF de la compañía frente a su cupón real de 3,6% (con la tasa efectiva real de 4,33% de la última emisión, la WACC nominal subiría 12 pb y el precio objetivo bajaría a CLP 2.042), la rebaja del impuesto corporativo a 23% (+5,1% al precio objetivo, aún no incluida) y la clasificación AAA, que probablemente quedaría bajo presión con 3,5x de DFN/EBITDA.</w:t>
      </w:r>
    </w:p>
    <w:p>
      <w:pPr>
        <w:keepNext w:val="false"/>
        <w:spacing w:before="120"/>
      </w:pP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5645"/>
        <w:gridCol w:w="216"/>
        <w:gridCol w:w="5645"/>
      </w:tblGrid>
      <w:tr>
        <w:trPr>
          <w:cantSplit/>
        </w:trPr>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Valor implícito por múltiplo de cada par vs DCF y precio (CLP por acción)</w:t>
            </w:r>
          </w:p>
          <w:p>
            <w:pPr>
              <w:keepNext w:val="false"/>
              <w:spacing w:after="20" w:before="0" w:line="240" w:lineRule="auto"/>
              <w:jc w:val="center"/>
            </w:pPr>
            <w:r>
              <w:drawing>
                <wp:inline distT="0" distB="0" distL="0" distR="0">
                  <wp:extent cx="30099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00990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Precio objetivo = 80% DCF + 20% EV/EBITDA LTM. P/E excluido (incluye revalorización). Fuente: Bloomberg (30-09-26); análisis del equipo.</w:t>
            </w:r>
          </w:p>
        </w:tc>
        <w:tc>
          <w:tcPr>
            <w:tcW w:type="dxa" w:w="216"/>
            <w:tcBorders>
              <w:top w:val="none" w:color="FFFFFF" w:sz="0"/>
              <w:left w:val="none" w:color="FFFFFF" w:sz="0"/>
              <w:bottom w:val="none" w:color="FFFFFF" w:sz="0"/>
              <w:right w:val="none" w:color="FFFFFF" w:sz="0"/>
            </w:tcBorders>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El mercado paga 6,0%; nuestros flujos valen 10,1%</w:t>
            </w:r>
          </w:p>
          <w:p>
            <w:pPr>
              <w:keepNext w:val="false"/>
              <w:spacing w:after="20" w:before="0" w:line="240" w:lineRule="auto"/>
              <w:jc w:val="center"/>
            </w:pPr>
            <w:r>
              <w:drawing>
                <wp:inline distT="0" distB="0" distL="0" distR="0">
                  <wp:extent cx="35814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581400" cy="23241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Gran Plaza: hecho posterior, no entra al modelo. Fuente: Mallplaza; Bloomberg; DF; análisis del equipo.</w:t>
            </w:r>
          </w:p>
        </w:tc>
      </w:tr>
      <w:tr>
        <w:trPr>
          <w:cantSplit/>
        </w:trPr>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El precio exige una WACC nominal 285 pb menor</w:t>
            </w:r>
          </w:p>
          <w:p>
            <w:pPr>
              <w:keepNext w:val="false"/>
              <w:spacing w:after="20" w:before="0" w:line="240" w:lineRule="auto"/>
              <w:jc w:val="center"/>
            </w:pPr>
            <w:r>
              <w:drawing>
                <wp:inline distT="0" distB="0" distL="0" distR="0">
                  <wp:extent cx="33528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5280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análisis del equipo.</w:t>
            </w:r>
          </w:p>
        </w:tc>
        <w:tc>
          <w:tcPr>
            <w:tcW w:type="dxa" w:w="216"/>
            <w:tcBorders>
              <w:top w:val="none" w:color="FFFFFF" w:sz="0"/>
              <w:left w:val="none" w:color="FFFFFF" w:sz="0"/>
              <w:bottom w:val="none" w:color="FFFFFF" w:sz="0"/>
              <w:right w:val="none" w:color="FFFFFF" w:sz="0"/>
            </w:tcBorders>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pP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RIESGOS DE INVERSIÓN</w:t>
      </w:r>
    </w:p>
    <w:p>
      <w:pPr>
        <w:keepNext w:val="false"/>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de probabilidad alta, es un alza de las tasas de largo plazo, que presiona el rendimiento de los bonos y eleva la WACC. Ni siquiera los escenarios favorables justifican el precio de mercado a la fecha del informe.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EVALUACIÓN DE RIESGOS</w:t>
            </w:r>
          </w:p>
          <w:p>
            <w:pPr>
              <w:keepNext w:val="false"/>
              <w:spacing w:after="40" w:before="0" w:line="228" w:lineRule="auto"/>
              <w:jc w:val="both"/>
            </w:pPr>
            <w:r>
              <w:rPr>
                <w:rFonts w:ascii="Arial" w:cs="Arial" w:eastAsia="Arial" w:hAnsi="Arial"/>
                <w:color w:val="1A1A1A"/>
                <w:sz w:val="16"/>
                <w:szCs w:val="16"/>
              </w:rPr>
              <w:t xml:space="preserve">La Figura 28 clasifica cada riesgo según su probabilidad y su impacto sobre el valor por acción (Figuras 29 a 26). Los riesgos que no se pudieron cuantificar se clasifican según el análisis cualitativo del equipo sobre la empresa.</w:t>
            </w:r>
          </w:p>
          <w:p>
            <w:pPr>
              <w:keepNext w:val="false"/>
              <w:pBdr>
                <w:bottom w:val="single" w:color="E9004B" w:sz="8" w:space="1"/>
              </w:pBdr>
              <w:spacing w:after="50" w:before="110"/>
            </w:pPr>
            <w:r>
              <w:rPr>
                <w:rFonts w:ascii="Arial" w:cs="Arial" w:eastAsia="Arial" w:hAnsi="Arial"/>
                <w:b/>
                <w:bCs/>
                <w:color w:val="14284B"/>
                <w:sz w:val="16"/>
                <w:szCs w:val="16"/>
              </w:rPr>
              <w:t xml:space="preserve">RIESGOS OPERACIONALES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1.671 (−10,0%), y el piso histórico del crecimiento de rentas en mismas tiendas lo lleva a CLP 1.782 (−4,0%) (Figura 29). </w:t>
            </w:r>
            <w:r>
              <w:rPr>
                <w:rFonts w:ascii="Arial" w:cs="Arial" w:eastAsia="Arial" w:hAnsi="Arial"/>
                <w:i/>
                <w:iCs/>
                <w:color w:val="5F5F5F"/>
                <w:sz w:val="16"/>
                <w:szCs w:val="16"/>
              </w:rPr>
              <w:t xml:space="preserve">(No 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29). </w:t>
            </w:r>
            <w:r>
              <w:rPr>
                <w:rFonts w:ascii="Arial" w:cs="Arial" w:eastAsia="Arial" w:hAnsi="Arial"/>
                <w:i/>
                <w:iCs/>
                <w:color w:val="5F5F5F"/>
                <w:sz w:val="16"/>
                <w:szCs w:val="16"/>
              </w:rPr>
              <w:t xml:space="preserve">(No sistemático · Prob. baja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keepNext w:val="false"/>
              <w:pBdr>
                <w:bottom w:val="single" w:color="E9004B" w:sz="8" w:space="1"/>
              </w:pBdr>
              <w:spacing w:after="50" w:before="110"/>
            </w:pPr>
            <w:r>
              <w:rPr>
                <w:rFonts w:ascii="Arial" w:cs="Arial" w:eastAsia="Arial" w:hAnsi="Arial"/>
                <w:b/>
                <w:bCs/>
                <w:color w:val="14284B"/>
                <w:sz w:val="16"/>
                <w:szCs w:val="16"/>
              </w:rPr>
              <w:t xml:space="preserve">RIESGOS FINANCIEROS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6,5% y 12,3% (Figura 30). </w:t>
            </w:r>
            <w:r>
              <w:rPr>
                <w:rFonts w:ascii="Arial" w:cs="Arial" w:eastAsia="Arial" w:hAnsi="Arial"/>
                <w:i/>
                <w:iCs/>
                <w:color w:val="5F5F5F"/>
                <w:sz w:val="16"/>
                <w:szCs w:val="16"/>
              </w:rPr>
              <w:t xml:space="preserve">(Sistemático · Prob. alta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keepNext w:val="false"/>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levemente positivo: las rentas indexadas suman CLP 40,8 por acción y la mayor deuda en UF resta 17,7, con un neto de +23,1 (+1,1%) (Figura 31). El riesgo está en que un menor consumo impida traspasar la UF a las rentas: sin ese traspaso, la UF +3% resta 0,9% al precio objetivo. Un menor consumo también frena las nuevas líneas de negocio (Anexo 20). </w:t>
            </w:r>
            <w:r>
              <w:rPr>
                <w:rFonts w:ascii="Arial" w:cs="Arial" w:eastAsia="Arial" w:hAnsi="Arial"/>
                <w:i/>
                <w:iCs/>
                <w:color w:val="5F5F5F"/>
                <w:sz w:val="16"/>
                <w:szCs w:val="16"/>
              </w:rPr>
              <w:t xml:space="preserve">(Sistemático · Prob. alta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29). </w:t>
            </w:r>
            <w:r>
              <w:rPr>
                <w:rFonts w:ascii="Arial" w:cs="Arial" w:eastAsia="Arial" w:hAnsi="Arial"/>
                <w:i/>
                <w:iCs/>
                <w:color w:val="5F5F5F"/>
                <w:sz w:val="16"/>
                <w:szCs w:val="16"/>
              </w:rPr>
              <w:t xml:space="preserve">(Sistemático · Prob. baja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keepNext w:val="false"/>
              <w:pBdr>
                <w:bottom w:val="single" w:color="E9004B" w:sz="8" w:space="1"/>
              </w:pBdr>
              <w:spacing w:after="50" w:before="110"/>
            </w:pPr>
            <w:r>
              <w:rPr>
                <w:rFonts w:ascii="Arial" w:cs="Arial" w:eastAsia="Arial" w:hAnsi="Arial"/>
                <w:b/>
                <w:bCs/>
                <w:color w:val="14284B"/>
                <w:sz w:val="16"/>
                <w:szCs w:val="16"/>
              </w:rPr>
              <w:t xml:space="preserve">RIESGOS REGULATORIOS Y ESG</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A estable y la Ley 21.770 (sep-25) acorta los permisos. En Perú, el alza del salario mínimo a S/ 1.300 y la duplicación de Pensión 65 apoyan el consumo (Infobae, 28-jul-26). Colombia aporta solo ~11% de los ingresos. El modelo mantiene 27%: la rebaja en Chile sumaría ~3,9%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Matriz de riesgos</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Color de fondo = severidad (probabilidad × impacto). Fuente: análisis del equipo.</w:t>
            </w:r>
          </w:p>
          <w:p>
            <w:pPr>
              <w:keepNext w:val="false"/>
              <w:spacing w:after="30" w:before="10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Tornado de riesgo operacional (CLP por acción)</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Límites = mínimo y máximo histórico de cada variable: releases de resultados de Mallplaza 4T23–2T26 (margen EBITDA, ocupación, rentas y ventas en mismas tiendas, visitas) y EEFF (capex de mantención 2024 y UDM 2T26; rango de crecimiento de la tasación, Nota 11). WACC terminal 10,41% y g 3,0% constantes. Fuente: Mallplaza; análisis del equipo.</w:t>
            </w:r>
          </w:p>
          <w:p>
            <w:pPr>
              <w:keepNext w:val="false"/>
              <w:spacing w:after="30" w:before="10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Sensibilidad del precio objetivo: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p>
            <w:pPr>
              <w:keepNext w:val="false"/>
              <w:spacing w:after="30" w:before="100" w:line="228" w:lineRule="auto"/>
            </w:pPr>
            <w:r>
              <w:rPr>
                <w:rFonts w:ascii="Arial" w:cs="Arial" w:eastAsia="Arial" w:hAnsi="Arial"/>
                <w:b/>
                <w:bCs/>
                <w:color w:val="14284B"/>
                <w:sz w:val="14"/>
                <w:szCs w:val="14"/>
              </w:rPr>
              <w:t xml:space="preserve">Figura 31: </w:t>
            </w:r>
            <w:r>
              <w:rPr>
                <w:rFonts w:ascii="Arial" w:cs="Arial" w:eastAsia="Arial" w:hAnsi="Arial"/>
                <w:color w:val="14284B"/>
                <w:sz w:val="14"/>
                <w:szCs w:val="14"/>
              </w:rPr>
              <w:t xml:space="preserve">Sensibilidad del precio objetivo a un alza de la UF (CLP por acción)</w:t>
            </w:r>
          </w:p>
          <w:p>
            <w:pPr>
              <w:keepNext w:val="false"/>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2763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Alza de nivel de la UF desde 2027E; WACC y g constantes. Deuda: exposición neta en UF de la Nota 26. Utilidad: +3% reportado, resto extrapolado. Fuente: EEFF jun-26, Nota 26; equipo.</w:t>
            </w:r>
          </w:p>
        </w:tc>
      </w:tr>
    </w:tbl>
    <w:p>
      <w:pPr>
        <w:keepNext w:val="false"/>
        <w:spacing w:before="160"/>
      </w:pP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11506"/>
      </w:tblGrid>
      <w:tr>
        <w:trPr>
          <w:cantSplit/>
        </w:trPr>
        <w:tc>
          <w:tcPr>
            <w:tcW w:type="dxa" w:w="11506"/>
            <w:tcBorders>
              <w:top w:val="none" w:color="FFFFFF" w:sz="0"/>
              <w:left w:val="none" w:color="FFFFFF" w:sz="0"/>
              <w:bottom w:val="none" w:color="FFFFFF" w:sz="0"/>
              <w:right w:val="none" w:color="FFFFFF" w:sz="0"/>
            </w:tcBorders>
            <w:vAlign w:val="top"/>
          </w:tcPr>
          <w:p>
            <w:pPr>
              <w:keepNext w:val="false"/>
              <w:pBdr>
                <w:bottom w:val="single" w:color="14284B" w:sz="18" w:space="2"/>
              </w:pBdr>
              <w:spacing w:after="80"/>
            </w:pPr>
            <w:r>
              <w:rPr>
                <w:rFonts w:ascii="Arial" w:cs="Arial" w:eastAsia="Arial" w:hAnsi="Arial"/>
                <w:b/>
                <w:bCs/>
                <w:color w:val="14284B"/>
                <w:sz w:val="30"/>
                <w:szCs w:val="30"/>
              </w:rPr>
              <w:t xml:space="preserve">RESUMEN DE INVERSIÓN</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7740"/>
              <w:gridCol w:w="216"/>
              <w:gridCol w:w="3550"/>
            </w:tblGrid>
            <w:tr>
              <w:tc>
                <w:tcPr>
                  <w:tcW w:type="dxa" w:w="774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PENDIENTE DE REDACCIÓN</w:t>
                  </w:r>
                </w:p>
                <w:p>
                  <w:pPr>
                    <w:keepNext w:val="false"/>
                    <w:spacing w:after="60"/>
                  </w:pPr>
                  <w:r>
                    <w:rPr>
                      <w:rFonts w:ascii="Arial" w:cs="Arial" w:eastAsia="Arial" w:hAnsi="Arial"/>
                      <w:i/>
                      <w:iCs/>
                      <w:color w:val="5F5F5F"/>
                      <w:sz w:val="16"/>
                      <w:szCs w:val="16"/>
                    </w:rPr>
                    <w:t xml:space="preserve">Recomendación y precio objetivo · Tesis de inversión · Resumen de la valuación · Catalizadores · Riesgos principales.</w:t>
                  </w:r>
                </w:p>
                <w:p>
                  <w:pPr>
                    <w:keepNext w:val="false"/>
                    <w:spacing w:after="60"/>
                  </w:pPr>
                  <w:r>
                    <w:rPr>
                      <w:rFonts w:ascii="Arial" w:cs="Arial" w:eastAsia="Arial" w:hAnsi="Arial"/>
                      <w:i/>
                      <w:iCs/>
                      <w:color w:val="5F5F5F"/>
                      <w:sz w:val="16"/>
                      <w:szCs w:val="16"/>
                    </w:rPr>
                    <w:t xml:space="preserve">Sección por redactar por el equipo; los datos clave de la derecha ya salen de los modelos.</w:t>
                  </w:r>
                </w:p>
              </w:tc>
              <w:tc>
                <w:tcPr>
                  <w:tcW w:type="dxa" w:w="216"/>
                  <w:tcBorders>
                    <w:top w:val="none" w:color="FFFFFF" w:sz="0"/>
                    <w:left w:val="none" w:color="FFFFFF" w:sz="0"/>
                    <w:bottom w:val="none" w:color="FFFFFF" w:sz="0"/>
                    <w:right w:val="none" w:color="FFFFFF" w:sz="0"/>
                  </w:tcBorders>
                  <w:vAlign w:val="top"/>
                </w:tcPr>
                <w:p>
                  <w:pPr>
                    <w:keepNext w:val="false"/>
                  </w:pPr>
                </w:p>
              </w:tc>
              <w:tc>
                <w:tcPr>
                  <w:tcW w:type="dxa" w:w="355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DATOS CLAVE</w:t>
                  </w:r>
                </w:p>
                <w:tbl>
                  <w:tbl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1900"/>
                    <w:gridCol w:w="1650"/>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Recomendación</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VENDER</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objetivo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30-sep-26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Potencial</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Valor DCF / múltiplos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1.857 / 2.951</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Ponderación DCF / múltiplos</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Ticker</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MALLPLAZ CI</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Capitalización (CLP mil MM)</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Rango 52 semanas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Dividendo esperado 2027E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DFN / EBITDA UDM 2T26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spacing w:before="30"/>
                  </w:pPr>
                  <w:r>
                    <w:rPr>
                      <w:rFonts w:ascii="Arial" w:cs="Arial" w:eastAsia="Arial" w:hAnsi="Arial"/>
                      <w:color w:val="5F5F5F"/>
                      <w:sz w:val="11"/>
                      <w:szCs w:val="11"/>
                    </w:rPr>
                    <w:t xml:space="preserve">Fuente: modelo de valoración v2; Bloomberg (rango 52 semanas); análisis del equipo.</w:t>
                  </w:r>
                </w:p>
              </w:tc>
            </w:tr>
          </w:tbl>
          <w:p>
            <w:pPr>
              <w:keepNext w:val="false"/>
            </w:pPr>
          </w:p>
        </w:tc>
      </w:tr>
    </w:tbl>
    <w:p>
      <w:pPr>
        <w:sectPr>
          <w:footerReference w:type="default" r:id="rId7"/>
          <w:type w:val="nextPage"/>
          <w:pgSz w:w="11906" w:h="16838" w:orient="portrait"/>
          <w:pgMar w:top="200" w:right="200" w:bottom="420" w:left="200" w:header="0" w:footer="12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ANEXOS: DESCRIPCIÓN DEL NEGOCIO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1: </w:t>
            </w:r>
            <w:r>
              <w:rPr>
                <w:rFonts w:ascii="Arial" w:cs="Arial" w:eastAsia="Arial" w:hAnsi="Arial"/>
                <w:color w:val="14284B"/>
                <w:sz w:val="14"/>
                <w:szCs w:val="14"/>
              </w:rPr>
              <w:t xml:space="preserve">Activos Tier A por GLA, 2T26 (miles de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(p.12). Tier A = 46,4% del GLA total.</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2: </w:t>
            </w:r>
            <w:r>
              <w:rPr>
                <w:rFonts w:ascii="Arial" w:cs="Arial" w:eastAsia="Arial" w:hAnsi="Arial"/>
                <w:color w:val="14284B"/>
                <w:sz w:val="14"/>
                <w:szCs w:val="14"/>
              </w:rPr>
              <w:t xml:space="preserve">Tiendas por departamento, % del GLA total</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INDUSTRIA Y POSICIONAMIENTO COMPETITIVO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3: </w:t>
            </w:r>
            <w:r>
              <w:rPr>
                <w:rFonts w:ascii="Arial" w:cs="Arial" w:eastAsia="Arial" w:hAnsi="Arial"/>
                <w:color w:val="14284B"/>
                <w:sz w:val="14"/>
                <w:szCs w:val="14"/>
              </w:rPr>
              <w:t xml:space="preserve">Pipeline de GLA 2026-2028: orgánico vs adquisiciones (m²)</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y Memoria 2025 de Plaza S.A.; Parque Arauco Investor Presentation 2Q26; Cenco Malls Corporate Presentation 2Q26. Solo proyectos con fecha.</w:t>
            </w:r>
          </w:p>
          <w:p>
            <w:pPr>
              <w:keepNext w:val="false"/>
              <w:keepLines/>
              <w:spacing w:after="20" w:before="90" w:line="240" w:lineRule="auto"/>
            </w:pPr>
            <w:r>
              <w:rPr>
                <w:rFonts w:ascii="Arial" w:cs="Arial" w:eastAsia="Arial" w:hAnsi="Arial"/>
                <w:b/>
                <w:bCs/>
                <w:color w:val="14284B"/>
                <w:sz w:val="14"/>
                <w:szCs w:val="14"/>
              </w:rPr>
              <w:t xml:space="preserve">Anexo 5: </w:t>
            </w:r>
            <w:r>
              <w:rPr>
                <w:rFonts w:ascii="Arial" w:cs="Arial" w:eastAsia="Arial" w:hAnsi="Arial"/>
                <w:color w:val="14284B"/>
                <w:sz w:val="14"/>
                <w:szCs w:val="14"/>
              </w:rPr>
              <w:t xml:space="preserve">Participación de mercado dentro del trío en Chile, 2T22-2T26 (% del GLA)</w:t>
            </w:r>
            <w:r>
              <w:br/>
            </w:r>
            <w:r>
              <w:drawing>
                <wp:inline distT="0" distB="0" distL="0" distR="0">
                  <wp:extent cx="22574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17430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4: </w:t>
            </w:r>
            <w:r>
              <w:rPr>
                <w:rFonts w:ascii="Arial" w:cs="Arial" w:eastAsia="Arial" w:hAnsi="Arial"/>
                <w:color w:val="14284B"/>
                <w:sz w:val="14"/>
                <w:szCs w:val="14"/>
              </w:rPr>
              <w:t xml:space="preserve">Tasa de ocupación consolidada, 2T22-2T26</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Cada empresa define la ocupación distinto; Mallplaza incluye Open Plaza desde 2T25.</w:t>
            </w:r>
          </w:p>
        </w:tc>
      </w:tr>
    </w:tbl>
    <w:p>
      <w:pPr>
        <w:keepNext w:val="false"/>
        <w:spacing w:after="30" w:before="140" w:line="228" w:lineRule="auto"/>
      </w:pPr>
      <w:r>
        <w:rPr>
          <w:rFonts w:ascii="Arial" w:cs="Arial" w:eastAsia="Arial" w:hAnsi="Arial"/>
          <w:b/>
          <w:bCs/>
          <w:color w:val="14284B"/>
          <w:sz w:val="14"/>
          <w:szCs w:val="14"/>
        </w:rPr>
        <w:t xml:space="preserve">Anexo 6: </w:t>
      </w:r>
      <w:r>
        <w:rPr>
          <w:rFonts w:ascii="Arial" w:cs="Arial" w:eastAsia="Arial" w:hAnsi="Arial"/>
          <w:color w:val="14284B"/>
          <w:sz w:val="14"/>
          <w:szCs w:val="14"/>
        </w:rPr>
        <w:t xml:space="preserve">Cinco fuerzas de Porter por país y evidencia principal</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620"/>
        <w:gridCol w:w="620"/>
        <w:gridCol w:w="800"/>
        <w:gridCol w:w="620"/>
        <w:gridCol w:w="630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Fuerza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Perú</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63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Evidencia principal</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Rivalidad</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CR3 76% / 37% / 13%; carrera de reinversión en experiencia; compra de activos (Minka, Plaza Central; anunciadas Quilín y Chicureo); oferta sobre consumo en 2027-28. Participaciones estables y márgenes de 71-90%.</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Nuevos entrantes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intensivo (USD 613 MM por 170.200 m² en Mallplaza); bancos de terrenos de incumbentes; Perú y Colombia menos concentrados; Colombia con mayoría de malls en propiedad horizontal.</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Poder de los locatarios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Ocupación Chile 96-99%; contratos de 5,0-8,7 años promedio; top 5 = 18% de ingresos de Mallplaza; SSR Chile sobre IPC (6,9% vs 4,8%, 1T23-2T26); tiendas por departamento 19,0% del GLA.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Poder de los proveedores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Gasto común traspasado al locatario (Memoria 2025, nota 2.20); costo de ventas 6,2% de ingresos de Mallplaza.</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Sustitutos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del ingreso por arriendo de Mallplaza es fijo; visitas 2T26 +4,4% Chile, +1,3% Perú, +2,5% Colombia; giro a experiencia. Sin datos oficiales de e-commerce por país.</w:t>
            </w:r>
          </w:p>
        </w:tc>
      </w:tr>
    </w:tbl>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Escala 1-5 en números enteros; nota final = promedio ponderado por GLA de Mallplaza al 2Q26 (Chile 61,9%, Perú 26,2%, Colombia 11,9%), redondeado al entero. En nuevos entrantes el ponderado queda en el límite (1,5) y el equipo lo fija en 2 por las menores barreras de entrada en Perú y Colombia. Detalle y fuentes por dato en Porter_industria_2Q26.xlsx.</w:t>
      </w:r>
    </w:p>
    <w:p>
      <w:pPr>
        <w:keepNext w:val="false"/>
        <w:spacing w:after="30" w:before="140" w:line="228" w:lineRule="auto"/>
      </w:pPr>
      <w:r>
        <w:rPr>
          <w:rFonts w:ascii="Arial" w:cs="Arial" w:eastAsia="Arial" w:hAnsi="Arial"/>
          <w:b/>
          <w:bCs/>
          <w:color w:val="14284B"/>
          <w:sz w:val="14"/>
          <w:szCs w:val="14"/>
        </w:rPr>
        <w:t xml:space="preserve">Anexo 7: </w:t>
      </w:r>
      <w:r>
        <w:rPr>
          <w:rFonts w:ascii="Arial" w:cs="Arial" w:eastAsia="Arial" w:hAnsi="Arial"/>
          <w:color w:val="14284B"/>
          <w:sz w:val="14"/>
          <w:szCs w:val="14"/>
        </w:rPr>
        <w:t xml:space="preserve">Supuestos principales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896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Tema</w:t>
            </w:r>
          </w:p>
        </w:tc>
        <w:tc>
          <w:tcPr>
            <w:tcW w:type="dxa" w:w="89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Medido por GLA (no por ventas) sobre los principales operadores de cada país (slide 7, Presentación Institucional 2Q26). HHI parcial: es un piso.</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proyectos con fecha en reportes oficiales al 2Q26 y Memoria 2025; fechas en rango al final del rango; las adquisiciones no son oferta nueva para la industria.</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Oferta vs demanda</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Chile y solo m² que dependen del consumo (excluye oficinas y multifamily); GLA base sin las oficinas de Cenco. El consumo privado del IPoM sep-2026 se usa como indicador de demanda, no como proyección de ventas.</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por m²</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según la definición de cada empresa (ninguna incluye la revalorización bajo NIC 40); EBITDA del 2T26 sin anualizar; GLA consolidado al 100% de los activos controlados.</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Contratos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Perfil y duración ponderados por GLA: explícito en Cenco y en el perfil de Parque Arauco; supuesto para Mallplaza.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Ventas reales</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Ventas de locatarios en Chile 2T26 vs 2T25 deflactadas con el IPC a 12 meses de junio 2026 (4,3%; INE, comunicado del 08-07-2026). Cenco 2T25 calculado desde su variación publicada (−1,9%).</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Fechas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Datos de empresas al 30-jun-2026; proyecciones macro del IPoM de septiembre 2026 por ser las vigentes más recientes.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 8: GOBIERNO CORPORATIVO Y SOSTENIBILIDAD</w:t>
      </w:r>
    </w:p>
    <w:p>
      <w:pPr>
        <w:keepNext w:val="false"/>
        <w:shd w:fill="EEF1F6" w:color="auto" w:val="clear"/>
        <w:spacing w:after="80" w:line="228" w:lineRule="auto"/>
        <w:jc w:val="both"/>
      </w:pPr>
      <w:r>
        <w:rPr>
          <w:rFonts w:ascii="Arial" w:cs="Arial" w:eastAsia="Arial" w:hAnsi="Arial"/>
          <w:color w:val="1A1A1A"/>
          <w:sz w:val="16"/>
          <w:szCs w:val="16"/>
        </w:rPr>
        <w:t xml:space="preserve">Información de respaldo de la sección ESG: estructura de propiedad, Directorio, cumplimiento, modelo de relacionamiento con grupos de interés, cultura organizacional y residuos. Fuente principal: Memoria Mallplaza 2025.</w:t>
      </w:r>
    </w:p>
    <w:p>
      <w:pPr>
        <w:keepNext w:val="false"/>
        <w:pBdr>
          <w:bottom w:val="single" w:color="E9004B" w:sz="8" w:space="1"/>
        </w:pBdr>
        <w:spacing w:after="50" w:before="60"/>
      </w:pPr>
      <w:r>
        <w:rPr>
          <w:rFonts w:ascii="Arial" w:cs="Arial" w:eastAsia="Arial" w:hAnsi="Arial"/>
          <w:b/>
          <w:bCs/>
          <w:color w:val="14284B"/>
          <w:sz w:val="16"/>
          <w:szCs w:val="16"/>
        </w:rPr>
        <w:t xml:space="preserve">1. ESTRUCTURA DE PROPIEDAD (31-12-2025)</w:t>
      </w:r>
    </w:p>
    <w:p>
      <w:pPr>
        <w:keepNext w:val="false"/>
        <w:spacing w:after="30" w:before="20" w:line="228" w:lineRule="auto"/>
      </w:pPr>
      <w:r>
        <w:rPr>
          <w:rFonts w:ascii="Arial" w:cs="Arial" w:eastAsia="Arial" w:hAnsi="Arial"/>
          <w:b/>
          <w:bCs/>
          <w:color w:val="14284B"/>
          <w:sz w:val="14"/>
          <w:szCs w:val="14"/>
        </w:rPr>
        <w:t xml:space="preserve">Figura 8.1: </w:t>
      </w:r>
      <w:r>
        <w:rPr>
          <w:rFonts w:ascii="Arial" w:cs="Arial" w:eastAsia="Arial" w:hAnsi="Arial"/>
          <w:color w:val="14284B"/>
          <w:sz w:val="14"/>
          <w:szCs w:val="14"/>
        </w:rPr>
        <w:t xml:space="preserve">Participación por tipo de accionista</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 (NCG 461 2.3.3). No hay ADRs ni certificados emitidos en el extranjero.</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Diez mayores accionistas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Acciones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de acciones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53,10%</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Bolsa de Comercio de Santiago, Bolsa de Valores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por cuenta de inversión extranjera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Fondo de Pensión tipo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Fondo de Pensión tipo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DIRECTORIO (ELEGIDO EL 22-04-2025)</w:t>
      </w:r>
    </w:p>
    <w:p>
      <w:pPr>
        <w:keepNext w:val="false"/>
        <w:spacing w:after="30" w:before="20" w:line="228" w:lineRule="auto"/>
      </w:pPr>
      <w:r>
        <w:rPr>
          <w:rFonts w:ascii="Arial" w:cs="Arial" w:eastAsia="Arial" w:hAnsi="Arial"/>
          <w:b/>
          <w:bCs/>
          <w:color w:val="14284B"/>
          <w:sz w:val="14"/>
          <w:szCs w:val="14"/>
        </w:rPr>
        <w:t xml:space="preserve">Figura 8.2: </w:t>
      </w:r>
      <w:r>
        <w:rPr>
          <w:rFonts w:ascii="Arial" w:cs="Arial" w:eastAsia="Arial" w:hAnsi="Arial"/>
          <w:color w:val="14284B"/>
          <w:sz w:val="14"/>
          <w:szCs w:val="14"/>
        </w:rPr>
        <w:t xml:space="preserve">Miembros del Directorio (rojo: director independiente; azul: presidente)</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miembros titulares, sin suplentes; un director independiente. Cada director tiene como máximo cuatro cargos en otras sociedades que cotizan en bolsa. Tomás Müller, Manuela Sánchez y Juan Pablo Montero fueron directores hasta el 22-04-2025.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3. ÉTICA Y CUMPLIMIENTO,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Materia</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Casos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Corrupción</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clientes (Ley 19.496 de Protección de los Derechos del Consumidor)</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trabajadores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Procedimientos de la Superintendencia del Medio Ambiente</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Denuncias de acoso laboral, sexual y de violencia en el trabajo</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4. MODELO DE RELACIONAMIENTO CON GRUPOS DE INTERÉS</w:t>
      </w:r>
    </w:p>
    <w:p>
      <w:pPr>
        <w:keepNext w:val="false"/>
        <w:spacing w:after="30" w:before="20" w:line="228" w:lineRule="auto"/>
      </w:pPr>
      <w:r>
        <w:rPr>
          <w:rFonts w:ascii="Arial" w:cs="Arial" w:eastAsia="Arial" w:hAnsi="Arial"/>
          <w:b/>
          <w:bCs/>
          <w:color w:val="14284B"/>
          <w:sz w:val="14"/>
          <w:szCs w:val="14"/>
        </w:rPr>
        <w:t xml:space="preserve">Figura 8.3: </w:t>
      </w:r>
      <w:r>
        <w:rPr>
          <w:rFonts w:ascii="Arial" w:cs="Arial" w:eastAsia="Arial" w:hAnsi="Arial"/>
          <w:color w:val="14284B"/>
          <w:sz w:val="14"/>
          <w:szCs w:val="14"/>
        </w:rPr>
        <w:t xml:space="preserve">Proceso de implementación del modelo de relacionamiento</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5. CULTURA ORGANIZACIONAL: ENCUESTA DE CULTURA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meta 2025: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Liderazgo</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Participación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El liderazgo (88%) se consolida como el principal activo para apalancar la estrategia.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6. RESIDUOS,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Figura 8.4: </w:t>
            </w:r>
            <w:r>
              <w:rPr>
                <w:rFonts w:ascii="Arial" w:cs="Arial" w:eastAsia="Arial" w:hAnsi="Arial"/>
                <w:color w:val="14284B"/>
                <w:sz w:val="14"/>
                <w:szCs w:val="14"/>
              </w:rPr>
              <w:t xml:space="preserve">Generación de residuos por país</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toneladas</w:t>
            </w:r>
            <w:r>
              <w:rPr>
                <w:rFonts w:ascii="Arial" w:cs="Arial" w:eastAsia="Arial" w:hAnsi="Arial"/>
                <w:color w:val="1A1A1A"/>
                <w:sz w:val="16"/>
                <w:szCs w:val="16"/>
              </w:rPr>
              <w:t xml:space="preserve"> de residuos a nivel regional: 76% en Chile, 16% en Colombia y 7% en Perú.</w:t>
            </w:r>
          </w:p>
          <w:p>
            <w:pPr>
              <w:keepNext w:val="false"/>
              <w:spacing w:after="80" w:before="0" w:line="228" w:lineRule="auto"/>
              <w:jc w:val="both"/>
            </w:pPr>
            <w:r>
              <w:rPr>
                <w:rFonts w:ascii="Arial" w:cs="Arial" w:eastAsia="Arial" w:hAnsi="Arial"/>
                <w:b/>
                <w:bCs/>
                <w:color w:val="14284B"/>
                <w:sz w:val="16"/>
                <w:szCs w:val="16"/>
              </w:rPr>
              <w:t xml:space="preserve">46,2% valorizado:</w:t>
            </w:r>
            <w:r>
              <w:rPr>
                <w:rFonts w:ascii="Arial" w:cs="Arial" w:eastAsia="Arial" w:hAnsi="Arial"/>
                <w:color w:val="1A1A1A"/>
                <w:sz w:val="16"/>
                <w:szCs w:val="16"/>
              </w:rPr>
              <w:t xml:space="preserve"> 14.987,57 t de residuos no peligrosos se destinaron a valorización energética con biogás (40,4%), reciclaje (36,1%) y compostaje (23,5%); el resto se destinó a eliminación, principalmente rellenos sanitarios.</w:t>
            </w:r>
          </w:p>
          <w:p>
            <w:pPr>
              <w:keepNext w:val="false"/>
              <w:spacing w:after="80" w:before="0" w:line="228" w:lineRule="auto"/>
              <w:jc w:val="both"/>
            </w:pPr>
            <w:r>
              <w:rPr>
                <w:rFonts w:ascii="Arial" w:cs="Arial" w:eastAsia="Arial" w:hAnsi="Arial"/>
                <w:b/>
                <w:bCs/>
                <w:color w:val="14284B"/>
                <w:sz w:val="16"/>
                <w:szCs w:val="16"/>
              </w:rPr>
              <w:t xml:space="preserve">Residuos peligrosos:</w:t>
            </w:r>
            <w:r>
              <w:rPr>
                <w:rFonts w:ascii="Arial" w:cs="Arial" w:eastAsia="Arial" w:hAnsi="Arial"/>
                <w:color w:val="1A1A1A"/>
                <w:sz w:val="16"/>
                <w:szCs w:val="16"/>
              </w:rPr>
              <w:t xml:space="preserve"> 9,03 t, una cifra marginal por la naturaleza de la operación.</w:t>
            </w:r>
          </w:p>
        </w:tc>
      </w:tr>
    </w:tbl>
    <w:p>
      <w:pPr>
        <w:keepNext w:val="false"/>
        <w:pBdr>
          <w:bottom w:val="single" w:color="E9004B" w:sz="8" w:space="1"/>
        </w:pBdr>
        <w:spacing w:after="50" w:before="160"/>
      </w:pPr>
      <w:r>
        <w:rPr>
          <w:rFonts w:ascii="Arial" w:cs="Arial" w:eastAsia="Arial" w:hAnsi="Arial"/>
          <w:b/>
          <w:bCs/>
          <w:color w:val="14284B"/>
          <w:sz w:val="16"/>
          <w:szCs w:val="16"/>
        </w:rPr>
        <w:t xml:space="preserve">7. MATRIZ DE RIESGO ESG</w:t>
      </w:r>
    </w:p>
    <w:p>
      <w:pPr>
        <w:keepNext w:val="false"/>
        <w:spacing w:after="30" w:before="20" w:line="228" w:lineRule="auto"/>
      </w:pPr>
      <w:r>
        <w:rPr>
          <w:rFonts w:ascii="Arial" w:cs="Arial" w:eastAsia="Arial" w:hAnsi="Arial"/>
          <w:b/>
          <w:bCs/>
          <w:color w:val="14284B"/>
          <w:sz w:val="14"/>
          <w:szCs w:val="14"/>
        </w:rPr>
        <w:t xml:space="preserve">Figura 8.5: </w:t>
      </w:r>
      <w:r>
        <w:rPr>
          <w:rFonts w:ascii="Arial" w:cs="Arial" w:eastAsia="Arial" w:hAnsi="Arial"/>
          <w:color w:val="14284B"/>
          <w:sz w:val="14"/>
          <w:szCs w:val="14"/>
        </w:rPr>
        <w:t xml:space="preserve">Matriz de factores ESG y su efecto en el caso de inversión</w:t>
      </w:r>
    </w:p>
    <w:p>
      <w:pPr>
        <w:keepNext w:val="false"/>
        <w:spacing w:after="20" w:before="0" w:line="240" w:lineRule="auto"/>
      </w:pPr>
      <w:r>
        <w:drawing>
          <wp:inline distT="0" distB="0" distL="0" distR="0">
            <wp:extent cx="6772275" cy="461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772275" cy="461962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Materialidad, horizonte, capacidad de absorber pérdidas y efecto neto son juicios del equipo. Marco adaptado del enfoque de S&amp;P Global Ratings para factores ESG de crédito. Fuente: Memoria Mallplaza 2025, Bloomberg, MSCI, Sustainalytics, S&amp;P Global; análisis del equipo.</w:t>
      </w:r>
    </w:p>
    <w:p>
      <w:pPr>
        <w:keepNext w:val="false"/>
        <w:pBdr>
          <w:bottom w:val="single" w:color="E9004B" w:sz="8" w:space="1"/>
        </w:pBdr>
        <w:spacing w:after="50" w:before="160"/>
      </w:pPr>
      <w:r>
        <w:rPr>
          <w:rFonts w:ascii="Arial" w:cs="Arial" w:eastAsia="Arial" w:hAnsi="Arial"/>
          <w:b/>
          <w:bCs/>
          <w:color w:val="14284B"/>
          <w:sz w:val="16"/>
          <w:szCs w:val="16"/>
        </w:rPr>
        <w:t xml:space="preserve">8. TRACK RECORD DEL EQUIPO EJECUTIVO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2300"/>
        <w:gridCol w:w="1000"/>
        <w:gridCol w:w="2000"/>
        <w:gridCol w:w="34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Nombre</w:t>
            </w:r>
          </w:p>
        </w:tc>
        <w:tc>
          <w:tcPr>
            <w:tcW w:type="dxa" w:w="23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Cargo en PLAZA</w:t>
            </w:r>
          </w:p>
        </w:tc>
        <w:tc>
          <w:tcPr>
            <w:tcW w:type="dxa" w:w="1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Antigüedad</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Experiencia previa</w:t>
            </w:r>
          </w:p>
        </w:tc>
        <w:tc>
          <w:tcPr>
            <w:tcW w:type="dxa" w:w="34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Perfil y responsabilidades</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Pablo Pulido Sierra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General (desde 2026)</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10 años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Grupo Casino, Grupo Éxito</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Perfil comercial; experiencia en integraciones regionales.</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Fernando de Peña Iver</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General (hasta 2025)</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35 años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Trayectoria en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Conduce la compañía hasta 2025; amplia trayectoria en el retail latinoamericano.</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Derek Schweitzer Tang</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de Administración y Finanzas (CFO)</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Desde 2023</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BRMalls</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Experiencia internacional; su área lidera la estructura financiera y el ingreso a índices globales (MSCI).</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Carlos Honorato C.</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CTO, Gerente de Tecnología</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 años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Ripley.com, Neoris, Alto Movup, ProChile</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Responsable de la modernización de las ventas omnicanal y de la ciberseguridad corporativa.</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María Sol de Cabo</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de Personas y Cultura</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Desde 2025</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Betterfly</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Más de 20 años de trayectoria internacional en gestión de talento.</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Oscar Munizaga Delfín</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de Desarrollo y Negocios</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34 años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Trayectoria en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Responsable del crecimiento mediante M&amp;A y desarrollos greenfield.</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Luis Hernán Silva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Legal, Riesgos y Cumplimiento</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27 años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Trayectoria en Mallplaza</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Responsable legal corporativo y de la gestión de riesgos y cumplimiento.</w:t>
            </w:r>
          </w:p>
        </w:tc>
      </w:tr>
    </w:tbl>
    <w:p>
      <w:pPr>
        <w:keepNext w:val="false"/>
        <w:spacing w:after="0" w:before="10" w:line="216" w:lineRule="auto"/>
      </w:pPr>
      <w:r>
        <w:rPr>
          <w:rFonts w:ascii="Arial" w:cs="Arial" w:eastAsia="Arial" w:hAnsi="Arial"/>
          <w:color w:val="5F5F5F"/>
          <w:sz w:val="11"/>
          <w:szCs w:val="11"/>
        </w:rPr>
        <w:t xml:space="preserve">Fuente: información pública de la compañía; Punteo del equipo (track record).</w:t>
      </w:r>
    </w:p>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ANÁLISIS FINANCIERO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9: </w:t>
            </w:r>
            <w:r>
              <w:rPr>
                <w:rFonts w:ascii="Arial" w:cs="Arial" w:eastAsia="Arial" w:hAnsi="Arial"/>
                <w:color w:val="14284B"/>
                <w:sz w:val="14"/>
                <w:szCs w:val="14"/>
              </w:rPr>
              <w:t xml:space="preserve">Supuestos del forecast (CLP nominales,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Variable</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Supuesto</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Base</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Ancla 2026E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real + 2S26E que repite el crecimiento en moneda local de 1S26 (Chile 6,1%, Perú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intermedios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IPC de consenso 2026–28; metas de los bancos centrales desde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Arriendos indexados a UF/IPC</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Crecimiento real mismas tiendas (sin 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Perú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Puntos medios de la tasación (Nota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Ocupación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y Colombia 97,5% constantes; Perú 93,8% → 94,6% en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2T26 real; Perú vuelve a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de los ingresos 2026; crecimiento real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(UDM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del pipeline</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41.850 m² (2028); rampa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proyectos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Expansión post-2028</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 al año desde 2029E (55% Chile / 45% Perú); USD 3.603/m² indexado a IPC, 50% en t−2 y 50% en t−1; margen EBITDA 80,9%; yield on cost 6,9%</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orgánico promedio 2022, 2023, 2025; costo por m² del pipeline</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Tipo de cambio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Consenso de fin de año 2026–28; paridad de poder de compra después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5-oct-26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Margen EBITDA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Perú 82%, Colombia 74% (≈ 79,7% consolidado)</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2024–UDM 2T26; no se extrapola el máximo 2025</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 de los ingresos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UDM 2T26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en caja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corriente 1S26; escudos se agotan</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Capex de proyectos</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445 MM restantes a jun-26, repartidos hasta la apertura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Mantención + TI</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de los ingresos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UDM 2T26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 neto operativo en 15,6% de los ingresos (dic-25); 2026E cubre solo 2S26E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dic-25, primer cierre con Perú completo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Apalancamiento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DFN/EBITDA 2,36x (jun-26) → 3,5x a dic-31E, lineal; la caja sobre el plan se devuelve con recompras o dividendos extraordinarios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Supuesto del equipo; pares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de la deuda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financiero neto 3,08% de la DFN inicial + 25 pb reales por vuelta sobre 2,36x; reajuste UF sobre 79% de la deuda</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anualizado; supuesto del equipo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Excluido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Greenfield (USD 0,7 MM UDM vs 55,2 MM en 2023), Gran Plaza; proyectos sin fecha en Chile reemplazados por la expansión post-2028</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Sin fecha o inmaterial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de la utilidad distribuible con un año de rezago, más las distribuciones adicionales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Política del directorio (Nota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reportado · C cálculo del equipo · S supuesto del equipo · P consenso de mercado. Fuente: EEFF Plaza S.A. (CMF); release 2T26; Bloomberg ECFC;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10: </w:t>
            </w:r>
            <w:r>
              <w:rPr>
                <w:rFonts w:ascii="Arial" w:cs="Arial" w:eastAsia="Arial" w:hAnsi="Arial"/>
                <w:color w:val="14284B"/>
                <w:sz w:val="14"/>
                <w:szCs w:val="14"/>
              </w:rPr>
              <w:t xml:space="preserve">Estados financieros resumidos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Estado de resultados</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(definición compañía)</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y otras partidas op.,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 financiero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Reajuste UF de la deuda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Utilidad atribuible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atribuible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y equivalentes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Propiedades de inversión</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totales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7.985,7</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Deuda financiera bruta</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por impuesto diferido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Patrimonio atribuible</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Flujo de caja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Flujo operativo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Adquisiciones (incl. minoritarios)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Emisión de acciones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Endeudamiento neto / (pago)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Intereses pagados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pagados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UDM = 2025 − 1S25 + 1S26. 2024 reexpresado en los EEFF dic-25; 2022A de los EEFF dic-23 reexpresados; las líneas de financiamiento 2022 no están en los archivos usados. Fuente: EEFF Plaza S.A. (CMF) dic-24, dic-25, jun-26.</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11: </w:t>
            </w:r>
            <w:r>
              <w:rPr>
                <w:rFonts w:ascii="Arial" w:cs="Arial" w:eastAsia="Arial" w:hAnsi="Arial"/>
                <w:color w:val="14284B"/>
                <w:sz w:val="14"/>
                <w:szCs w:val="14"/>
              </w:rPr>
              <w:t xml:space="preserve">Tablero de ratios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al 27%, capital a valor razonable)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Razón corriente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 pasivos corrientes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totales / patrimonio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(DFN / propiedades de inversión)</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costos financieros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Costos operativos / ingresos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Días de cobro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p>
            <w:pPr>
              <w:keepNext w:val="false"/>
              <w:spacing w:after="0" w:before="10" w:line="216" w:lineRule="auto"/>
              <w:jc w:val="both"/>
            </w:pPr>
            <w:r>
              <w:rPr>
                <w:rFonts w:ascii="Arial" w:cs="Arial" w:eastAsia="Arial" w:hAnsi="Arial"/>
                <w:color w:val="5F5F5F"/>
                <w:sz w:val="11"/>
                <w:szCs w:val="11"/>
              </w:rPr>
              <w:t xml:space="preserve">Apalancamiento jun-26 sobre EBITDA UDM; costos operativos = costo de ventas + administración (1S26). Días de cobro dic-24 n.s. (Perú consolida un mes). Los retornos a jun-26 requieren el balance de jun-25. Fuente: EEFF (CMF); Análisis Razonado 1S26; análisis del equipo.</w:t>
            </w:r>
          </w:p>
          <w:p>
            <w:pPr>
              <w:keepNext w:val="false"/>
              <w:spacing w:after="30" w:before="100" w:line="228" w:lineRule="auto"/>
            </w:pPr>
            <w:r>
              <w:rPr>
                <w:rFonts w:ascii="Arial" w:cs="Arial" w:eastAsia="Arial" w:hAnsi="Arial"/>
                <w:b/>
                <w:bCs/>
                <w:color w:val="14284B"/>
                <w:sz w:val="14"/>
                <w:szCs w:val="14"/>
              </w:rPr>
              <w:t xml:space="preserve">Anexo 12: </w:t>
            </w:r>
            <w:r>
              <w:rPr>
                <w:rFonts w:ascii="Arial" w:cs="Arial" w:eastAsia="Arial" w:hAnsi="Arial"/>
                <w:color w:val="14284B"/>
                <w:sz w:val="14"/>
                <w:szCs w:val="14"/>
              </w:rPr>
              <w:t xml:space="preserve">El EBITDA que usamos es el de la compañía: la revalorización se elimina una sola vez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ingresos op. (principalmente valor razonable)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gastos op. (no recurrentes)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ajustado</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Control vs EBITDA de la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El campo EBITDA de Bloomberg incluye la revalorización y no se usa. Fuente: EEFF (CMF), Notas 23.1–23.3; release 2T26;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13: </w:t>
            </w:r>
            <w:r>
              <w:rPr>
                <w:rFonts w:ascii="Arial" w:cs="Arial" w:eastAsia="Arial" w:hAnsi="Arial"/>
                <w:color w:val="14284B"/>
                <w:sz w:val="14"/>
                <w:szCs w:val="14"/>
              </w:rPr>
              <w:t xml:space="preserve">Proyección del caso base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652,8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Perú</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Eliminaciones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expansión post-2028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Ingresos</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961,3</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Crecimiento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766,9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760,1</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Tasa de impuesto en caja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pipeline + mantención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(51,7)</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expansión post-2028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(104,2)</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capital de trabajo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501,6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444,6</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ordinarios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(172,6)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Distribuciones adicionales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(404,8)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1S26 real + 2S26E; el capex incluye CLP 84,2 mil MM gastados en 1S26; Δ capital de trabajo y distribuciones adicionales cubren solo 2S26E. FFO = (EBITDA − costo financiero neto) × (1 − impuesto en caja), antes de minoritarios (~1%); utilidad distribuible = FFO − reajuste UF. Fuente: modelo de valoración v2 (hojas DCF, Deuda y Expansion); análisis del equipo.</w:t>
            </w:r>
          </w:p>
          <w:p>
            <w:pPr>
              <w:keepNext w:val="false"/>
              <w:spacing w:after="30" w:before="100" w:line="228" w:lineRule="auto"/>
            </w:pPr>
            <w:r>
              <w:rPr>
                <w:rFonts w:ascii="Arial" w:cs="Arial" w:eastAsia="Arial" w:hAnsi="Arial"/>
                <w:b/>
                <w:bCs/>
                <w:color w:val="14284B"/>
                <w:sz w:val="14"/>
                <w:szCs w:val="14"/>
              </w:rPr>
              <w:t xml:space="preserve">Anexo 14: </w:t>
            </w:r>
            <w:r>
              <w:rPr>
                <w:rFonts w:ascii="Arial" w:cs="Arial" w:eastAsia="Arial" w:hAnsi="Arial"/>
                <w:color w:val="14284B"/>
                <w:sz w:val="14"/>
                <w:szCs w:val="14"/>
              </w:rPr>
              <w:t xml:space="preserve">En base comparable, Mallplaza tiene el ROE normalizado más alto de sus pares locales (2025)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 propiedades iniciales</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propiedades de inversión</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atribuible, cierre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Mallplaza normalizado con la utilidad distribuible auditada; pares con utilidad neta − revalorización × (1 − 27%). Las propiedades de Parque Arauco excluyen JV, lo que sobrestima su LTV. Fuente: EEFF (CMF); Bloomberg FA (PARAUCO CI, CENCOMAL CI; 28-sep-26); análisis del equipo.</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ANEXO 15: FLUJO DE CAJA DESCONTADO</w:t>
      </w:r>
    </w:p>
    <w:p>
      <w:pPr>
        <w:keepNext w:val="false"/>
        <w:shd w:fill="EEF1F6" w:color="auto" w:val="clear"/>
        <w:spacing w:after="40" w:line="216" w:lineRule="auto"/>
        <w:jc w:val="both"/>
      </w:pPr>
      <w:r>
        <w:rPr>
          <w:rFonts w:ascii="Arial" w:cs="Arial" w:eastAsia="Arial" w:hAnsi="Arial"/>
          <w:color w:val="1A1A1A"/>
          <w:sz w:val="15"/>
          <w:szCs w:val="15"/>
        </w:rPr>
        <w:t xml:space="preserve">FCFF en CLP nominales desde el 30-jun-26, con convención de mitad de período y la WACC de cada período (Anexo 19). El valor terminal usa el FCFF 2032E con g de 3,0% nominal (0% real, sin reinversión porque el RONIC queda bajo la WACC real) y la WACC terminal de 10,41%, e incluye 108.301 m² de GLA que maduran después de 2031. Explica el 76% del EV.</w:t>
      </w:r>
    </w:p>
    <w:p>
      <w:pPr>
        <w:keepNext w:val="false"/>
        <w:pBdr>
          <w:bottom w:val="single" w:color="E9004B" w:sz="8" w:space="1"/>
        </w:pBdr>
        <w:spacing w:after="50" w:before="80"/>
      </w:pPr>
      <w:r>
        <w:rPr>
          <w:rFonts w:ascii="Arial" w:cs="Arial" w:eastAsia="Arial" w:hAnsi="Arial"/>
          <w:b/>
          <w:bCs/>
          <w:color w:val="14284B"/>
          <w:sz w:val="16"/>
          <w:szCs w:val="16"/>
        </w:rPr>
        <w:t xml:space="preserve">A. FLUJO DE CAJA LIBRE DE LA FIRMA POR PERÍODO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totales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915.888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961.340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1.007.657</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654.236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694.005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730.578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766.858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804.002</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509.043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522.791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528.617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554.868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581.746</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6.122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6.764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base (pipeline + mantención)</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−124.994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−240.660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−151.495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−55.421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expansión / reinversión terminal</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−4.580</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113.426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199.440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259.688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375.321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377.068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398.716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528.835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del período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Factor de descuento (mitad del período)</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 del valor terminal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110.620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180.452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212.644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278.200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253.058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242.325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DEL VALOR DE EMPRESA AL VALOR POR 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Concepto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MM</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explícito (2S26E–2031E)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1.277.299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valor terminal</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1.884</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de empresa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5.402.999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2.467</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Deuda financiera neta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Minoritarios (libro)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Valor del patrimonio / por acción</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4.066.418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DEL VALOR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2.278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2.216</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2.109</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2.052</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pb</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1.785</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1.614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1.528</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1.379</w:t>
                  </w:r>
                </w:p>
              </w:tc>
            </w:tr>
          </w:tbl>
          <w:p/>
        </w:tc>
      </w:tr>
    </w:tbl>
    <w:p>
      <w:pPr>
        <w:keepNext w:val="false"/>
        <w:spacing w:after="0" w:before="10" w:line="216" w:lineRule="auto"/>
      </w:pPr>
      <w:r>
        <w:rPr>
          <w:rFonts w:ascii="Arial" w:cs="Arial" w:eastAsia="Arial" w:hAnsi="Arial"/>
          <w:color w:val="5F5F5F"/>
          <w:sz w:val="11"/>
          <w:szCs w:val="11"/>
        </w:rPr>
        <w:t xml:space="preserve">Valor terminal al 31-dic-31: CLP 7.133.037 MM (cap rate implícito 10,1%; EV/EBITDA UDM implícito 9,9x). 2S26E: medio año. Fuente: modelo v2, hojas DCF y Sensibilidad; 2.190 MM de acciones.</w:t>
      </w:r>
    </w:p>
    <w:p>
      <w:pPr>
        <w:keepNext w:val="false"/>
        <w:pBdr>
          <w:bottom w:val="single" w:color="14284B" w:sz="18" w:space="2"/>
        </w:pBdr>
        <w:spacing w:after="80" w:before="260"/>
      </w:pPr>
      <w:r>
        <w:rPr>
          <w:rFonts w:ascii="Arial" w:cs="Arial" w:eastAsia="Arial" w:hAnsi="Arial"/>
          <w:b/>
          <w:bCs/>
          <w:color w:val="14284B"/>
          <w:sz w:val="30"/>
          <w:szCs w:val="30"/>
        </w:rPr>
        <w:t xml:space="preserve">ANEXO 16: SUPUESTOS DE LA PROYECCIÓN</w:t>
      </w:r>
    </w:p>
    <w:p>
      <w:pPr>
        <w:keepNext w:val="false"/>
        <w:shd w:fill="EEF1F6" w:color="auto" w:val="clear"/>
        <w:spacing w:after="40" w:line="216" w:lineRule="auto"/>
        <w:jc w:val="both"/>
      </w:pPr>
      <w:r>
        <w:rPr>
          <w:rFonts w:ascii="Arial" w:cs="Arial" w:eastAsia="Arial" w:hAnsi="Arial"/>
          <w:color w:val="1A1A1A"/>
          <w:sz w:val="15"/>
          <w:szCs w:val="15"/>
        </w:rPr>
        <w:t xml:space="preserve">El forecast base sigue el motor operativo del equipo (pipeline anunciado hasta 2028); desde 2029 se suma una expansión continua al ritmo histórico de apertura. Los ingresos 2026E son año calendario; el período 2S26E descuenta el 1S26 real (CLP 339.530 MM de ingresos).</w:t>
      </w:r>
    </w:p>
    <w:p>
      <w:pPr>
        <w:keepNext w:val="false"/>
        <w:pBdr>
          <w:bottom w:val="single" w:color="E9004B" w:sz="8" w:space="1"/>
        </w:pBdr>
        <w:spacing w:after="50" w:before="80"/>
      </w:pPr>
      <w:r>
        <w:rPr>
          <w:rFonts w:ascii="Arial" w:cs="Arial" w:eastAsia="Arial" w:hAnsi="Arial"/>
          <w:b/>
          <w:bCs/>
          <w:color w:val="14284B"/>
          <w:sz w:val="16"/>
          <w:szCs w:val="16"/>
        </w:rPr>
        <w:t xml:space="preserve">A. PROYECCIÓN DE INGRESOS, CAPEX Y CAPITAL DE TRABAJO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base (año calendario)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866.952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904.203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939.524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Crecimiento de ingresos totales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de la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21.815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base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proyectos en curso (USD MM)</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USDCLP promedio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proyectos en curso</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105.634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106.367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 (5,5% de ingresos)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45.128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Capex base total</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124.994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240.660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151.495</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de expansión (CLP MM, IPC)</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EXPANSIÓN CONTINUA</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GLA nuevo por año desde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promedio orgánico 2022, 2023 y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en curso (Release 2Q26)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MM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Desembolso del capex</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en t−2 / 50% en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Rampa de ingresos (año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Mix Chile / Perú; margen EBITDA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54,9% / 45,1%;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RONIC real después de impuestos</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 / 5,0%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OPERACIÓN, CAPITAL Y VALOR TERMINAL</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UDM 2T26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de los ingresos</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ingresos</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en caja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de trabajo neto / ingresos (dic-25)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Deudores / arriendos anticipados (dic-25, CLP MM)</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 terminal nominal (real)</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objetivo; Kd real por vuelta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en 2031; +25 pb</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sobre utilidad distribuible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spacing w:after="0" w:before="10" w:line="216" w:lineRule="auto"/>
      </w:pPr>
      <w:r>
        <w:rPr>
          <w:rFonts w:ascii="Arial" w:cs="Arial" w:eastAsia="Arial" w:hAnsi="Arial"/>
          <w:color w:val="5F5F5F"/>
          <w:sz w:val="11"/>
          <w:szCs w:val="11"/>
        </w:rPr>
        <w:t xml:space="preserve">Fuente: modelo v2, hojas Forecast_Base, Expansion, Capital_Trabajo y Supuestos (Release 2Q26; EEFF dic-25; Exhibits v6).</w:t>
      </w:r>
    </w:p>
    <w:p>
      <w:pPr>
        <w:keepNext w:val="false"/>
        <w:pBdr>
          <w:bottom w:val="single" w:color="14284B" w:sz="18" w:space="2"/>
        </w:pBdr>
        <w:spacing w:after="80" w:before="0"/>
      </w:pPr>
      <w:r>
        <w:rPr>
          <w:rFonts w:ascii="Arial" w:cs="Arial" w:eastAsia="Arial" w:hAnsi="Arial"/>
          <w:b/>
          <w:bCs/>
          <w:color w:val="14284B"/>
          <w:sz w:val="30"/>
          <w:szCs w:val="30"/>
        </w:rPr>
        <w:t xml:space="preserve">ANEXO 17: MÚLTIPLOS COMPARABLES</w:t>
      </w:r>
    </w:p>
    <w:p>
      <w:pPr>
        <w:keepNext w:val="false"/>
        <w:shd w:fill="EEF1F6" w:color="auto" w:val="clear"/>
        <w:spacing w:after="40" w:line="216" w:lineRule="auto"/>
        <w:jc w:val="both"/>
      </w:pPr>
      <w:r>
        <w:rPr>
          <w:rFonts w:ascii="Arial" w:cs="Arial" w:eastAsia="Arial" w:hAnsi="Arial"/>
          <w:color w:val="1A1A1A"/>
          <w:sz w:val="15"/>
          <w:szCs w:val="15"/>
        </w:rPr>
        <w:t xml:space="preserve">Usamos el mismo set de pares que la beta de la WACC. EV/EBITDA UDM es el método principal (neutral al apalancamiento y a la revalorización NIC 40); el múltiplo pondera 70% la mediana chilena y 30% la del set común. P/E y P/BV mezclan pares a valor razonable y a costo: solo referencia. Precio al 30-sep-26; deuda neta Bloomberg y tipo de cambio al 30-jun-26.</w:t>
      </w:r>
    </w:p>
    <w:p>
      <w:pPr>
        <w:keepNext w:val="false"/>
        <w:pBdr>
          <w:bottom w:val="single" w:color="E9004B" w:sz="8" w:space="1"/>
        </w:pBdr>
        <w:spacing w:after="50" w:before="80"/>
      </w:pPr>
      <w:r>
        <w:rPr>
          <w:rFonts w:ascii="Arial" w:cs="Arial" w:eastAsia="Arial" w:hAnsi="Arial"/>
          <w:b/>
          <w:bCs/>
          <w:color w:val="14284B"/>
          <w:sz w:val="16"/>
          <w:szCs w:val="16"/>
        </w:rPr>
        <w:t xml:space="preserve">A. PARES (CLP MM; MÚLTIPLOS EN VECES)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 UDM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 UDM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(excluida)</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México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set común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Chile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Ponderado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VALOR POR MÚLTIPLO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Múltiplo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Ponderado</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Métrica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EV/EBITDA UDM (principal)</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 UDM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 UDM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A LA PONDERACIÓN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Peso Chile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Múltiplo</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 múlt.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Puente: 14,36x × EBITDA UDM CLP 544.935 MM = EV 7.825.944 − deuda neta Bloomberg 1.311.569 − minoritarios 50.841 = CLP 2.951 por acción (2.190 MM de acciones). Fibra Danhos queda fuera por su régimen FIBRA y por no tener beta en la WACC; IRSA reporta bajo NIC 29. Fuente: Bloomberg; modelo v2, hojas Comparables y Precio_Objetivo; Figuras_Valuacion, V7.</w:t>
      </w:r>
    </w:p>
    <w:p>
      <w:pPr>
        <w:keepNext w:val="false"/>
        <w:pBdr>
          <w:bottom w:val="single" w:color="14284B" w:sz="18" w:space="2"/>
        </w:pBdr>
        <w:spacing w:after="80" w:before="260"/>
      </w:pPr>
      <w:r>
        <w:rPr>
          <w:rFonts w:ascii="Arial" w:cs="Arial" w:eastAsia="Arial" w:hAnsi="Arial"/>
          <w:b/>
          <w:bCs/>
          <w:color w:val="14284B"/>
          <w:sz w:val="30"/>
          <w:szCs w:val="30"/>
        </w:rPr>
        <w:t xml:space="preserve">ANEXO 18: ESCENARIOS Y ROBUSTEZ</w:t>
      </w:r>
    </w:p>
    <w:p>
      <w:pPr>
        <w:keepNext w:val="false"/>
        <w:shd w:fill="EEF1F6" w:color="auto" w:val="clear"/>
        <w:spacing w:after="40" w:line="216" w:lineRule="auto"/>
        <w:jc w:val="both"/>
      </w:pPr>
      <w:r>
        <w:rPr>
          <w:rFonts w:ascii="Arial" w:cs="Arial" w:eastAsia="Arial" w:hAnsi="Arial"/>
          <w:color w:val="1A1A1A"/>
          <w:sz w:val="15"/>
          <w:szCs w:val="15"/>
        </w:rPr>
        <w:t xml:space="preserve">Ningún escenario ni método alternativo alcanza el precio de CLP 3.555. Los escenarios se calculan con la réplica del DCF v2 (reproduce exactamente el valor base) y el precio objetivo mantiene el 80% DCF y el valor por múltiplos de CLP 2.951.</w:t>
      </w:r>
    </w:p>
    <w:p>
      <w:pPr>
        <w:keepNext w:val="false"/>
        <w:pBdr>
          <w:bottom w:val="single" w:color="E9004B" w:sz="8" w:space="1"/>
        </w:pBdr>
        <w:spacing w:after="50" w:before="80"/>
      </w:pPr>
      <w:r>
        <w:rPr>
          <w:rFonts w:ascii="Arial" w:cs="Arial" w:eastAsia="Arial" w:hAnsi="Arial"/>
          <w:b/>
          <w:bCs/>
          <w:color w:val="14284B"/>
          <w:sz w:val="16"/>
          <w:szCs w:val="16"/>
        </w:rPr>
        <w:t xml:space="preserve">A. ESCENARIOS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250"/>
        <w:gridCol w:w="5616"/>
        <w:gridCol w:w="1200"/>
        <w:gridCol w:w="1400"/>
        <w:gridCol w:w="1200"/>
      </w:tblGrid>
      <w:tr>
        <w:trPr>
          <w:tblHeader/>
        </w:trPr>
        <w:tc>
          <w:tcPr>
            <w:tcW w:type="dxa" w:w="12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Escenario</w:t>
            </w:r>
          </w:p>
        </w:tc>
        <w:tc>
          <w:tcPr>
            <w:tcW w:type="dxa" w:w="561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Supuestos</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objetivo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pb en todos los períodos; margen EBITDA 75,8% (mínimo histórico) en vez de 79,7%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1.403</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w:t>
            </w:r>
          </w:p>
        </w:tc>
      </w:tr>
      <w:tr>
        <w:tc>
          <w:tcPr>
            <w:tcW w:type="dxa" w:w="12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561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Modelo v2: WACC 10,54% → 10,41%; g 3,0%; margen 79,7%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pb; g 2,5%; margen 81,3% (máximo histórico); impuesto en caja con techo de 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2.546</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2.627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r>
      <w:tr>
        <w:tc>
          <w:tcPr>
            <w:tcW w:type="dxa" w:w="12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Tasadores</w:t>
            </w:r>
          </w:p>
        </w:tc>
        <w:tc>
          <w:tcPr>
            <w:tcW w:type="dxa" w:w="561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8,72% (5,55% real, Nota 11) en todos los períodos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2.660</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MÉTODOS Y SUPUESTOS ALTERNATIVOS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Prueba</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valor sin deuda</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escudos fiscales de la deuda</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por acción</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1.894</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2.105</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en pesos 5,43% (WACC −107 pb)</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2.439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WACC constante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2.095</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implícita en el precio: 7,56%</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OBJETIVO DE DEUDA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DFN/EBITDA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pb</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(actual)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1.834</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1.842</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1.894</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1.847</w:t>
                  </w:r>
                </w:p>
              </w:tc>
            </w:tr>
          </w:tbl>
          <w:p/>
        </w:tc>
      </w:tr>
    </w:tbl>
    <w:p>
      <w:pPr>
        <w:keepNext w:val="false"/>
        <w:spacing w:after="0" w:before="10" w:line="216" w:lineRule="auto"/>
      </w:pPr>
      <w:r>
        <w:rPr>
          <w:rFonts w:ascii="Arial" w:cs="Arial" w:eastAsia="Arial" w:hAnsi="Arial"/>
          <w:color w:val="5F5F5F"/>
          <w:sz w:val="11"/>
          <w:szCs w:val="11"/>
        </w:rPr>
        <w:t xml:space="preserve">Bear y bull: margen EBITDA del mínimo/máximo histórico (Earnings Releases 4Q23 y 3Q25) en todos los años; el bull no recalcula el escudo fiscal de la WACC. Fuente: réplica del DCF v2 (riesgos/graficos/tornado_operacional.py); modelo v2, hojas APV, Sensibilidad (tabla 2, estática) y DCF; Figuras_Valuacion, WACC_Construccion y V6.</w:t>
      </w:r>
    </w:p>
    <w:p>
      <w:pPr>
        <w:keepNext w:val="false"/>
        <w:pBdr>
          <w:bottom w:val="single" w:color="14284B" w:sz="18" w:space="2"/>
        </w:pBdr>
        <w:spacing w:after="80" w:before="0"/>
      </w:pPr>
      <w:r>
        <w:rPr>
          <w:rFonts w:ascii="Arial" w:cs="Arial" w:eastAsia="Arial" w:hAnsi="Arial"/>
          <w:b/>
          <w:bCs/>
          <w:color w:val="14284B"/>
          <w:sz w:val="30"/>
          <w:szCs w:val="30"/>
        </w:rPr>
        <w:t xml:space="preserve">ANEXO 19: CONSTRUCCIÓN DE LA WACC</w:t>
      </w:r>
    </w:p>
    <w:p>
      <w:pPr>
        <w:keepNext w:val="false"/>
        <w:shd w:fill="EEF1F6" w:color="auto" w:val="clear"/>
        <w:spacing w:after="60" w:line="228" w:lineRule="auto"/>
        <w:jc w:val="both"/>
      </w:pPr>
      <w:r>
        <w:rPr>
          <w:rFonts w:ascii="Arial" w:cs="Arial" w:eastAsia="Arial" w:hAnsi="Arial"/>
          <w:color w:val="1A1A1A"/>
          <w:sz w:val="16"/>
          <w:szCs w:val="16"/>
        </w:rPr>
        <w:t xml:space="preserve">La WACC se calcula por período: el D/E converge linealmente desde la estructura actual (20,0%) hasta la objetivo (28,5%, DFN/EBITDA 3,5x) en 2031. El Ke se construye en dólares (Rf del Tesoro de EE.UU. + beta re-apalancada × ERP + CRP ponderado por ingresos) y se convierte a pesos con el diferencial de inflación.</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CRP ponderado</w:t>
      </w:r>
    </w:p>
    <w:p>
      <w:pPr>
        <w:keepNext w:val="false"/>
        <w:spacing w:after="10"/>
        <w:ind w:left="240"/>
      </w:pPr>
      <w:r>
        <w:rPr>
          <w:rFonts w:ascii="Arial" w:cs="Arial" w:eastAsia="Arial" w:hAnsi="Arial"/>
          <w:b/>
          <w:bCs/>
          <w:color w:val="14284B"/>
          <w:sz w:val="14"/>
          <w:szCs w:val="14"/>
        </w:rPr>
        <w:t xml:space="preserve">Ke CLP = (1 + Ke USD) × (1 + π Chile) / (1 + π EE.UU.) − 1</w:t>
      </w:r>
    </w:p>
    <w:p>
      <w:pPr>
        <w:keepNext w:val="false"/>
        <w:spacing w:after="10"/>
        <w:ind w:left="240"/>
      </w:pPr>
      <w:r>
        <w:rPr>
          <w:rFonts w:ascii="Arial" w:cs="Arial" w:eastAsia="Arial" w:hAnsi="Arial"/>
          <w:b/>
          <w:bCs/>
          <w:color w:val="14284B"/>
          <w:sz w:val="14"/>
          <w:szCs w:val="14"/>
        </w:rPr>
        <w:t xml:space="preserve">Kd CLP = (1 + Kd real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SUPUESTOS DE MERCADO Y ESTRUCTURA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Fuente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del Tesoro EE.UU. 10 años</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Prima por riesgo de mercado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Meta BCCh</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EE.UU. (breakeven 10Y)</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Ley de la Renta</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cupón última emisión en UF</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Aumento del Kd real por vuelta de DFN/EBITDA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Supuesto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inicial (30-06-26) → objetivo</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Release 2Q26; supuesto del equipo</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Deuda bruta / market cap (estructura actual, MM CLP)</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 (miles)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PARES DESAPALANCADOS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apalancada</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Deuda (MM CLP)</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(MM CLP)</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Impuesto</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desapalancada</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Mediana (6 pares incluidos)</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Fuente: Bloomberg (betas), Tasa_WACC. Costa Verde se excluye porque no está en el set de comparables.</w:t>
      </w:r>
    </w:p>
    <w:p>
      <w:pPr>
        <w:keepNext w:val="false"/>
        <w:pBdr>
          <w:bottom w:val="single" w:color="E9004B" w:sz="8" w:space="1"/>
        </w:pBdr>
        <w:spacing w:after="50" w:before="140"/>
      </w:pPr>
      <w:r>
        <w:rPr>
          <w:rFonts w:ascii="Arial" w:cs="Arial" w:eastAsia="Arial" w:hAnsi="Arial"/>
          <w:b/>
          <w:bCs/>
          <w:color w:val="14284B"/>
          <w:sz w:val="16"/>
          <w:szCs w:val="16"/>
        </w:rPr>
        <w:t xml:space="preserve">C. RIESGO PAÍS PONDERADO POR INGRESOS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Ponderación (ingresos LTM)</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Aporte</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Perú</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CRP ponderado</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POR PERÍODO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Beta re-apalancada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(UF) con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después de impuestos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WACC nominal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real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Figura 19.1: </w:t>
            </w:r>
            <w:r>
              <w:rPr>
                <w:rFonts w:ascii="Arial" w:cs="Arial" w:eastAsia="Arial" w:hAnsi="Arial"/>
                <w:color w:val="14284B"/>
                <w:sz w:val="14"/>
                <w:szCs w:val="14"/>
              </w:rPr>
              <w:t xml:space="preserve">WACC nominal y D/E por período</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la réplica coincide con la hoja WACC del modelo v2 (diferencia 0 pb en todos los períodos). Fuente: Damodaran; Bloomberg; BCCh;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ELECCIÓN DE LA TASA LIBRE DE RIESGO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Alternativa</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del modelo: Rf EE.UU. + CRP Chile, en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Bono en pesos 10 años BCCh (30-06-26)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Diferencia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pb</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Efecto en la WACC terminal (diferencia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pb</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DCF con el bono en pesos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Precio objetivo 80/20 en ese caso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2.439</w:t>
                  </w:r>
                </w:p>
              </w:tc>
            </w:tr>
          </w:tbl>
          <w:p>
            <w:pPr>
              <w:keepNext w:val="false"/>
              <w:spacing w:after="0" w:before="80" w:line="216" w:lineRule="auto"/>
              <w:jc w:val="both"/>
            </w:pPr>
            <w:r>
              <w:rPr>
                <w:rFonts w:ascii="Arial" w:cs="Arial" w:eastAsia="Arial" w:hAnsi="Arial"/>
                <w:color w:val="1A1A1A"/>
                <w:sz w:val="14"/>
                <w:szCs w:val="14"/>
              </w:rPr>
              <w:t xml:space="preserve">Por qué UST + CRP y no el bono en pesos: el bono local ya incluye el riesgo Chile, y sumarle el CRP lo contaría dos veces; además, un 28% de los ingresos viene de Perú y Colombia, cuyo riesgo se agrega con el CRP ponderado.</w:t>
            </w:r>
          </w:p>
          <w:p>
            <w:pPr>
              <w:keepNext w:val="false"/>
              <w:spacing w:after="0" w:before="30" w:line="216" w:lineRule="auto"/>
              <w:jc w:val="both"/>
            </w:pPr>
            <w:r>
              <w:rPr>
                <w:rFonts w:ascii="Arial" w:cs="Arial" w:eastAsia="Arial" w:hAnsi="Arial"/>
                <w:color w:val="1A1A1A"/>
                <w:sz w:val="14"/>
                <w:szCs w:val="14"/>
              </w:rPr>
              <w:t xml:space="preserve">Es la elección más conservadora: con el bono en pesos el precio objetivo sube a ~CLP 2.439, todavía 31% bajo el precio de CLP 3.555. La recomendación no cambia.</w:t>
            </w:r>
          </w:p>
          <w:p>
            <w:pPr>
              <w:keepNext w:val="false"/>
              <w:spacing w:after="0" w:before="30" w:line="216" w:lineRule="auto"/>
              <w:jc w:val="both"/>
            </w:pPr>
            <w:r>
              <w:rPr>
                <w:rFonts w:ascii="Arial" w:cs="Arial" w:eastAsia="Arial" w:hAnsi="Arial"/>
                <w:color w:val="5F5F5F"/>
                <w:sz w:val="11"/>
                <w:szCs w:val="11"/>
              </w:rPr>
              <w:t xml:space="preserve">Fuente: BCCh, Informativo Diario 2-jul-26; réplica del DCF v2 con la WACC desplazada en todos los períodos.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28"/>
          <w:szCs w:val="28"/>
        </w:rPr>
        <w:t xml:space="preserve">ANEXO 20: ENTORNO MACROECONÓMICO Y GEOPOLÍTICO</w:t>
      </w:r>
    </w:p>
    <w:p>
      <w:pPr>
        <w:keepNext w:val="false"/>
        <w:shd w:fill="EEF1F6" w:color="auto" w:val="clear"/>
        <w:spacing w:after="110" w:line="228" w:lineRule="auto"/>
        <w:jc w:val="both"/>
      </w:pPr>
      <w:r>
        <w:rPr>
          <w:rFonts w:ascii="Arial" w:cs="Arial" w:eastAsia="Arial" w:hAnsi="Arial"/>
          <w:color w:val="1A1A1A"/>
          <w:sz w:val="16"/>
          <w:szCs w:val="16"/>
        </w:rPr>
        <w:t xml:space="preserve">Entre 2022 y 2026 la economía mundial absorbió dos shocks de oferta de origen geopolítico y un alza estructural de las tasas largas. El resultado es un entorno de presiones estanflacionarias y mayor costo de capital que llega a Chile por tres canales —inflación, tasas y consumo— y que está detrás de los dos riesgos más severos del informe (FR1 y MR1). En los gráficos, la línea punteada azul marca la fecha de valoración (30-06-2026); los datos posteriores se muestran como contexto.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promedio sep-26</w:t>
            </w:r>
          </w:p>
          <w:p>
            <w:pPr>
              <w:keepNext w:val="false"/>
              <w:spacing w:after="0" w:line="216" w:lineRule="auto"/>
            </w:pPr>
            <w:r>
              <w:rPr>
                <w:rFonts w:ascii="Arial" w:cs="Arial" w:eastAsia="Arial" w:hAnsi="Arial"/>
                <w:color w:val="5F5F5F"/>
                <w:sz w:val="12"/>
                <w:szCs w:val="12"/>
              </w:rPr>
              <w:t xml:space="preserve">+61% vs feb-26, antes del conflicto</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UST 10Y, 8-oct-26</w:t>
            </w:r>
          </w:p>
          <w:p>
            <w:pPr>
              <w:keepNext w:val="false"/>
              <w:spacing w:after="0" w:line="216" w:lineRule="auto"/>
            </w:pPr>
            <w:r>
              <w:rPr>
                <w:rFonts w:ascii="Arial" w:cs="Arial" w:eastAsia="Arial" w:hAnsi="Arial"/>
                <w:color w:val="5F5F5F"/>
                <w:sz w:val="12"/>
                <w:szCs w:val="12"/>
              </w:rPr>
              <w:t xml:space="preserve">máximo en 24 años (desde 2002)</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pb</w:t>
            </w:r>
          </w:p>
          <w:p>
            <w:pPr>
              <w:keepNext w:val="false"/>
              <w:spacing w:after="10" w:line="216" w:lineRule="auto"/>
            </w:pPr>
            <w:r>
              <w:rPr>
                <w:rFonts w:ascii="Arial" w:cs="Arial" w:eastAsia="Arial" w:hAnsi="Arial"/>
                <w:b/>
                <w:bCs/>
                <w:color w:val="14284B"/>
                <w:sz w:val="13"/>
                <w:szCs w:val="13"/>
              </w:rPr>
              <w:t xml:space="preserve">Spread Francia–Alemania</w:t>
            </w:r>
          </w:p>
          <w:p>
            <w:pPr>
              <w:keepNext w:val="false"/>
              <w:spacing w:after="0" w:line="216" w:lineRule="auto"/>
            </w:pPr>
            <w:r>
              <w:rPr>
                <w:rFonts w:ascii="Arial" w:cs="Arial" w:eastAsia="Arial" w:hAnsi="Arial"/>
                <w:color w:val="5F5F5F"/>
                <w:sz w:val="12"/>
                <w:szCs w:val="12"/>
              </w:rPr>
              <w:t xml:space="preserve">30-sep-26; ~150 pb a inicios de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FMI 2026: PIB | inflación</w:t>
            </w:r>
          </w:p>
          <w:p>
            <w:pPr>
              <w:keepNext w:val="false"/>
              <w:spacing w:after="0" w:line="216" w:lineRule="auto"/>
            </w:pPr>
            <w:r>
              <w:rPr>
                <w:rFonts w:ascii="Arial" w:cs="Arial" w:eastAsia="Arial" w:hAnsi="Arial"/>
                <w:color w:val="5F5F5F"/>
                <w:sz w:val="12"/>
                <w:szCs w:val="12"/>
              </w:rPr>
              <w:t xml:space="preserve">crecimiento recortado; desinflación detenida</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PIB Chile 2026 (BCCh)</w:t>
            </w:r>
          </w:p>
          <w:p>
            <w:pPr>
              <w:keepNext w:val="false"/>
              <w:spacing w:after="0" w:line="216" w:lineRule="auto"/>
            </w:pPr>
            <w:r>
              <w:rPr>
                <w:rFonts w:ascii="Arial" w:cs="Arial" w:eastAsia="Arial" w:hAnsi="Arial"/>
                <w:color w:val="5F5F5F"/>
                <w:sz w:val="12"/>
                <w:szCs w:val="12"/>
              </w:rPr>
              <w:t xml:space="preserve">desde 2–3% proyectado en dic-25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CÓMO LLEGA EL SHOCK A MALLPLAZA</w:t>
      </w:r>
    </w:p>
    <w:p>
      <w:pPr>
        <w:keepNext w:val="false"/>
        <w:spacing w:after="30" w:before="40" w:line="228" w:lineRule="auto"/>
      </w:pPr>
      <w:r>
        <w:rPr>
          <w:rFonts w:ascii="Arial" w:cs="Arial" w:eastAsia="Arial" w:hAnsi="Arial"/>
          <w:b/>
          <w:bCs/>
          <w:color w:val="14284B"/>
          <w:sz w:val="14"/>
          <w:szCs w:val="14"/>
        </w:rPr>
        <w:t xml:space="preserve">Figura 20.1: </w:t>
      </w:r>
      <w:r>
        <w:rPr>
          <w:rFonts w:ascii="Arial" w:cs="Arial" w:eastAsia="Arial" w:hAnsi="Arial"/>
          <w:color w:val="14284B"/>
          <w:sz w:val="14"/>
          <w:szCs w:val="14"/>
        </w:rPr>
        <w:t xml:space="preserve">Mapa de transmisión: de los shocks globales a los riesgos de Mallplaza</w:t>
      </w:r>
    </w:p>
    <w:p>
      <w:pPr>
        <w:keepNext w:val="false"/>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77227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análisis del equipo; cifras de las Figuras 29–31 del informe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DOS SHOCKS DE OFERTA Y UN ALZA GLOBAL DE TASAS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20.2: </w:t>
            </w:r>
            <w:r>
              <w:rPr>
                <w:rFonts w:ascii="Arial" w:cs="Arial" w:eastAsia="Arial" w:hAnsi="Arial"/>
                <w:color w:val="14284B"/>
                <w:sz w:val="14"/>
                <w:szCs w:val="14"/>
              </w:rPr>
              <w:t xml:space="preserve">Precio del petróleo Brent, 2022–2026 (USD/barril)</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Dos shocks de oferta.</w:t>
            </w:r>
            <w:r>
              <w:rPr>
                <w:rFonts w:ascii="Arial" w:cs="Arial" w:eastAsia="Arial" w:hAnsi="Arial"/>
                <w:color w:val="1A1A1A"/>
                <w:sz w:val="15"/>
                <w:szCs w:val="15"/>
              </w:rPr>
              <w:t xml:space="preserve"> La invasión rusa de Ucrania (feb-22) llevó el Brent a USD 123 en junio de 2022. En 2026, el conflicto en el estrecho de Ormuz —por donde pasa más de un cuarto del petróleo transportado por mar— lo subió de USD 71 en febrero a USD 117 en abril; tras una tregua en junio, los ataques lo devolvieron a USD 114 en septiembre.</w:t>
            </w:r>
          </w:p>
          <w:p>
            <w:pPr>
              <w:keepNext w:val="false"/>
              <w:spacing w:after="0" w:before="10" w:line="216" w:lineRule="auto"/>
            </w:pPr>
            <w:r>
              <w:rPr>
                <w:rFonts w:ascii="Arial" w:cs="Arial" w:eastAsia="Arial" w:hAnsi="Arial"/>
                <w:color w:val="5F5F5F"/>
                <w:sz w:val="11"/>
                <w:szCs w:val="11"/>
              </w:rPr>
              <w:t xml:space="preserve">Fuente: EIA (Brent spot, promedio mensual; STEO abr-26, sep-26 y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20.3: </w:t>
            </w:r>
            <w:r>
              <w:rPr>
                <w:rFonts w:ascii="Arial" w:cs="Arial" w:eastAsia="Arial" w:hAnsi="Arial"/>
                <w:color w:val="14284B"/>
                <w:sz w:val="14"/>
                <w:szCs w:val="14"/>
              </w:rPr>
              <w:t xml:space="preserve">Rendimiento soberano a 10 años, 2022–2026 (%)</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Las tasas largas suben juntas.</w:t>
            </w:r>
            <w:r>
              <w:rPr>
                <w:rFonts w:ascii="Arial" w:cs="Arial" w:eastAsia="Arial" w:hAnsi="Arial"/>
                <w:color w:val="1A1A1A"/>
                <w:sz w:val="15"/>
                <w:szCs w:val="15"/>
              </w:rPr>
              <w:t xml:space="preserve"> El UST 10Y pasó de 1,8% (ene-22) a 5,0% (sep-26) y tocó 5,22% el 8 de octubre, su máximo en 24 años; el Bund pasó de −0,1% a 3,6%. Los déficits fiscales presionan la tasa libre de riesgo y Chile acompaña el movimiento desde mediados de 2026.</w:t>
            </w:r>
          </w:p>
          <w:p>
            <w:pPr>
              <w:keepNext w:val="false"/>
              <w:spacing w:after="0" w:before="10" w:line="216" w:lineRule="auto"/>
            </w:pPr>
            <w:r>
              <w:rPr>
                <w:rFonts w:ascii="Arial" w:cs="Arial" w:eastAsia="Arial" w:hAnsi="Arial"/>
                <w:color w:val="5F5F5F"/>
                <w:sz w:val="11"/>
                <w:szCs w:val="11"/>
              </w:rPr>
              <w:t xml:space="preserve">Fuente: FRED (GS10), Bundesbank, Banque de France (vía OCDE) y BCCh (BCP 10 años); promedios mensuales.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PRIMA FISCAL Y ESTANFLACIÓN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20.4: </w:t>
            </w:r>
            <w:r>
              <w:rPr>
                <w:rFonts w:ascii="Arial" w:cs="Arial" w:eastAsia="Arial" w:hAnsi="Arial"/>
                <w:color w:val="14284B"/>
                <w:sz w:val="14"/>
                <w:szCs w:val="14"/>
              </w:rPr>
              <w:t xml:space="preserve">Spreads a 10 años: Francia–Alemania y Chile–EE.UU. (pb)</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El alza es fiscal y global, no de riesgo Chile.</w:t>
            </w:r>
            <w:r>
              <w:rPr>
                <w:rFonts w:ascii="Arial" w:cs="Arial" w:eastAsia="Arial" w:hAnsi="Arial"/>
                <w:color w:val="1A1A1A"/>
                <w:sz w:val="15"/>
                <w:szCs w:val="15"/>
              </w:rPr>
              <w:t xml:space="preserve"> El spread de Francia sobre Alemania subió de ~40 pb en 2022 a 81 pb en promedio en septiembre de 2026 y a 117 pb al cierre del mes (~150 pb a inicios de octubre, máximo desde 2011–12). El de Chile sobre EE.UU. se comprimió: la tasa local depende cada vez más de la tasa base global.</w:t>
            </w:r>
          </w:p>
          <w:p>
            <w:pPr>
              <w:keepNext w:val="false"/>
              <w:spacing w:after="0" w:before="10" w:line="216" w:lineRule="auto"/>
            </w:pPr>
            <w:r>
              <w:rPr>
                <w:rFonts w:ascii="Arial" w:cs="Arial" w:eastAsia="Arial" w:hAnsi="Arial"/>
                <w:color w:val="5F5F5F"/>
                <w:sz w:val="11"/>
                <w:szCs w:val="11"/>
              </w:rPr>
              <w:t xml:space="preserve">Fuente: elaboración propia con los datos de la Figura 20.3 (promedios mensuales); cierre de septiembre: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20.5: </w:t>
            </w:r>
            <w:r>
              <w:rPr>
                <w:rFonts w:ascii="Arial" w:cs="Arial" w:eastAsia="Arial" w:hAnsi="Arial"/>
                <w:color w:val="14284B"/>
                <w:sz w:val="14"/>
                <w:szCs w:val="14"/>
              </w:rPr>
              <w:t xml:space="preserve">Crecimiento e inflación mundial, 2022–2026P (%)</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Estanflación.</w:t>
            </w:r>
            <w:r>
              <w:rPr>
                <w:rFonts w:ascii="Arial" w:cs="Arial" w:eastAsia="Arial" w:hAnsi="Arial"/>
                <w:color w:val="1A1A1A"/>
                <w:sz w:val="15"/>
                <w:szCs w:val="15"/>
              </w:rPr>
              <w:t xml:space="preserve"> El FMI recortó el crecimiento mundial de 2026 a 3,0% y subió la inflación a 4,7% (desde 4,1% en 2025): la desinflación que venía desde 2024 se detuvo por el alza de la energía y los alimentos, en una economía que crece menos.</w:t>
            </w:r>
          </w:p>
          <w:p>
            <w:pPr>
              <w:keepNext w:val="false"/>
              <w:spacing w:after="0" w:before="10" w:line="216" w:lineRule="auto"/>
            </w:pPr>
            <w:r>
              <w:rPr>
                <w:rFonts w:ascii="Arial" w:cs="Arial" w:eastAsia="Arial" w:hAnsi="Arial"/>
                <w:color w:val="5F5F5F"/>
                <w:sz w:val="11"/>
                <w:szCs w:val="11"/>
              </w:rPr>
              <w:t xml:space="preserve">Fuente: FMI, World Economic Outlook (actualización jul-2026). 2026P = proyección.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MENOS CRECIMIENTO E INFLACIÓN PERSISTENTE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20.6: </w:t>
            </w:r>
            <w:r>
              <w:rPr>
                <w:rFonts w:ascii="Arial" w:cs="Arial" w:eastAsia="Arial" w:hAnsi="Arial"/>
                <w:color w:val="14284B"/>
                <w:sz w:val="14"/>
                <w:szCs w:val="14"/>
              </w:rPr>
              <w:t xml:space="preserve">Chile: PIB, inflación y tasa de política monetaria, 2022–2026P (%)</w:t>
            </w:r>
          </w:p>
          <w:p>
            <w:pPr>
              <w:keepNext w:val="false"/>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314700" cy="20097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BCCh (IPoM dic-25, jun-26 y sep-26) e INE. PIB 2026: punto medio del rango 0,25–0,75%.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Menos crecimiento.</w:t>
            </w:r>
            <w:r>
              <w:rPr>
                <w:rFonts w:ascii="Arial" w:cs="Arial" w:eastAsia="Arial" w:hAnsi="Arial"/>
                <w:color w:val="1A1A1A"/>
                <w:sz w:val="15"/>
                <w:szCs w:val="15"/>
              </w:rPr>
              <w:t xml:space="preserve"> El Banco Central recortó el PIB 2026 a 0,25–0,75%, desde 2–3% en diciembre de 2025, con un mercado laboral más débil y confianza a la baja.</w:t>
            </w:r>
          </w:p>
          <w:p>
            <w:pPr>
              <w:keepNext w:val="false"/>
              <w:spacing w:after="70" w:before="0" w:line="228" w:lineRule="auto"/>
              <w:jc w:val="both"/>
            </w:pPr>
            <w:r>
              <w:rPr>
                <w:rFonts w:ascii="Arial" w:cs="Arial" w:eastAsia="Arial" w:hAnsi="Arial"/>
                <w:b/>
                <w:bCs/>
                <w:color w:val="14284B"/>
                <w:sz w:val="15"/>
                <w:szCs w:val="15"/>
              </w:rPr>
              <w:t xml:space="preserve">Inflación persistente.</w:t>
            </w:r>
            <w:r>
              <w:rPr>
                <w:rFonts w:ascii="Arial" w:cs="Arial" w:eastAsia="Arial" w:hAnsi="Arial"/>
                <w:color w:val="1A1A1A"/>
                <w:sz w:val="15"/>
                <w:szCs w:val="15"/>
              </w:rPr>
              <w:t xml:space="preserve"> El IPC sube a 3,9%, sobre la meta de 3%, y la TPM se mantiene en 4,5%: no hay espacio para estimular el consumo, motor de las ventas de los locatarios (MR1).</w:t>
            </w:r>
          </w:p>
          <w:p>
            <w:pPr>
              <w:keepNext w:val="false"/>
              <w:spacing w:after="70" w:before="0" w:line="228" w:lineRule="auto"/>
              <w:jc w:val="both"/>
            </w:pPr>
            <w:r>
              <w:rPr>
                <w:rFonts w:ascii="Arial" w:cs="Arial" w:eastAsia="Arial" w:hAnsi="Arial"/>
                <w:b/>
                <w:bCs/>
                <w:color w:val="14284B"/>
                <w:sz w:val="15"/>
                <w:szCs w:val="15"/>
              </w:rPr>
              <w:t xml:space="preserve">Fragmentación geopolítica.</w:t>
            </w:r>
            <w:r>
              <w:rPr>
                <w:rFonts w:ascii="Arial" w:cs="Arial" w:eastAsia="Arial" w:hAnsi="Arial"/>
                <w:color w:val="1A1A1A"/>
                <w:sz w:val="15"/>
                <w:szCs w:val="15"/>
              </w:rPr>
              <w:t xml:space="preserve"> Alianzas debilitadas y una política comercial de EE.UU. poco predecible encarecen la cobertura de riesgos y reducen los flujos hacia emergentes. Para Chile, Perú y Colombia esto significa monedas más volátiles y financiamiento más caro, que el modelo recoge con un CRP ponderado de 1,41% en el Ke.</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QUÉ SIGNIFICA PARA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Canal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Efecto en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En el modelo</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Riesgo</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Energía e inflación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inflación mundial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Reajusta la deuda en UF (79% del total); los arriendos en UF compensan</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de utilidad (Fig. 31)</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Tasas largas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UST 10Y 4,1% → 5,2%; Bund 2,9% → 3,6% (dic-25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Mayor WACC y costo de refinanciar el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pb = precio objetivo −12,3% (Fig. 30)</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Consumo y PIB</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PIB Chile 2026: 0,25–0,75%; IPC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Menores ventas de locatarios, tráfico y nuevos formatos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tráfico −1,3% / +2,4% del valor (Fig. 29)</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Fragmentación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Aranceles de EE.UU.; menores flujos a emergentes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Monedas volátiles y financiamiento más caro</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CRP ponderado 1,41% en el Ke; deuda en moneda local y derivados de cobertura (Análisis Razonado 2T26)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QUÉ VIGILAR</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Indicador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Último dato</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Señal de alerta</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Qué implica para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UST 10Y</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5,5% de forma sostenida</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pb: precio objetivo de CLP 2.076 a ~1.940 (Fig. 30)</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USD 120 o cierre prolongado de Ormuz</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Más inflación y UF: mayor reajuste de la deuda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IPC Chile</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(IPoM jun-26)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4% por dos trimestres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TPM sin recortes; consumo y ventas de locatarios débiles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PIB Chile</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(IPoM)</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Contracción en dos trimestres</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 tráfico y ventas; presión sobre la ocupación (Fig. 29)</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Spread Francia–Alemania</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pb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150 pb</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Contagio fiscal: más presión sobre las tasas largas globales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Lectura para el inversionista.</w:t>
      </w:r>
      <w:r>
        <w:rPr>
          <w:rFonts w:ascii="Arial" w:cs="Arial" w:eastAsia="Arial" w:hAnsi="Arial"/>
          <w:color w:val="1A1A1A"/>
          <w:sz w:val="16"/>
          <w:szCs w:val="16"/>
        </w:rPr>
        <w:t xml:space="preserve"> El entorno eleva la probabilidad de los dos riesgos más severos del informe (FR1 y MR1). El modelo usa una Rf de 4,98% y una WACC nominal terminal de 10,41% (10,54% en 2S26E); con el UST 10Y sobre 5,2% en octubre, el sesgo de la tasa de descuento es al alza, lo que refuerza la recomendación.</w:t>
      </w:r>
    </w:p>
    <w:sectPr>
      <w:footerReference w:type="default" r:id="rId8"/>
      <w:type w:val="nextPage"/>
      <w:pgSz w:w="11906" w:h="16838" w:orient="portrait"/>
      <w:pgMar w:top="200" w:right="200" w:bottom="420" w:left="200" w:header="0" w:footer="1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4348739cf2bbe80fe6a78f6df1abc8f36bc358c.png"/><Relationship Id="rId10" Type="http://schemas.openxmlformats.org/officeDocument/2006/relationships/image" Target="media/34532f7c30c17d6314684a916c3bfde3999b7416.png"/><Relationship Id="rId11" Type="http://schemas.openxmlformats.org/officeDocument/2006/relationships/image" Target="media/7740e404b19cbf777a033b14c42409a022747a72.png"/><Relationship Id="rId12" Type="http://schemas.openxmlformats.org/officeDocument/2006/relationships/image" Target="media/f15c089be8e0d753539f6f9eeefa3fe9c0bc4f68.png"/><Relationship Id="rId13" Type="http://schemas.openxmlformats.org/officeDocument/2006/relationships/image" Target="media/0cebf95ed6b1035d4fc1453eaa063682bfc6d832.png"/><Relationship Id="rId14" Type="http://schemas.openxmlformats.org/officeDocument/2006/relationships/image" Target="media/b21d50f01ceb50050bb1fcd3d7e05774045c60c5.png"/><Relationship Id="rId15" Type="http://schemas.openxmlformats.org/officeDocument/2006/relationships/image" Target="media/94eb7462150d49f700ff89cf644c23b43b6a46d1.png"/><Relationship Id="rId16" Type="http://schemas.openxmlformats.org/officeDocument/2006/relationships/image" Target="media/3622e2e25ccfcc3a8d1679c98f94afcbcbc5cfe2.png"/><Relationship Id="rId17" Type="http://schemas.openxmlformats.org/officeDocument/2006/relationships/image" Target="media/bb229cbba7c93bbcdce30a13122f93af2ad5370c.png"/><Relationship Id="rId18" Type="http://schemas.openxmlformats.org/officeDocument/2006/relationships/image" Target="media/f4d3967792585fdbdfd5500d140b57cf27c616b6.png"/><Relationship Id="rId19" Type="http://schemas.openxmlformats.org/officeDocument/2006/relationships/image" Target="media/4bc2b50fc361b46958993af72b6fed0f46eec7a4.png"/><Relationship Id="rId20" Type="http://schemas.openxmlformats.org/officeDocument/2006/relationships/image" Target="media/85905f3480284006c687d1127adc6063810694a6.png"/><Relationship Id="rId21" Type="http://schemas.openxmlformats.org/officeDocument/2006/relationships/image" Target="media/3ffdba50826c0f47161d8972132ca5b20b0dbd4e.png"/><Relationship Id="rId22" Type="http://schemas.openxmlformats.org/officeDocument/2006/relationships/image" Target="media/04fb2f47d0c2a10e8504a929c26d8d31ae4b5144.png"/><Relationship Id="rId23" Type="http://schemas.openxmlformats.org/officeDocument/2006/relationships/image" Target="media/7d8204fda84a881810f270fea79de3fb869b95ea.png"/><Relationship Id="rId24" Type="http://schemas.openxmlformats.org/officeDocument/2006/relationships/image" Target="media/1c1b905e7784077b546c946da99ba143a175872b.png"/><Relationship Id="rId25" Type="http://schemas.openxmlformats.org/officeDocument/2006/relationships/image" Target="media/c56e3105f1791428290fa44aea05f2c406719a25.png"/><Relationship Id="rId26" Type="http://schemas.openxmlformats.org/officeDocument/2006/relationships/image" Target="media/78fd8a3b95d09da84d6f02bcf7058100a332498a.png"/><Relationship Id="rId27" Type="http://schemas.openxmlformats.org/officeDocument/2006/relationships/image" Target="media/1d9a00e71859a315af64a6732f0ba93bf8e1e282.png"/><Relationship Id="rId28" Type="http://schemas.openxmlformats.org/officeDocument/2006/relationships/image" Target="media/b6ad38b50f96473e1c95db300a0891d50e013037.png"/><Relationship Id="rId29" Type="http://schemas.openxmlformats.org/officeDocument/2006/relationships/image" Target="media/cba43784aa545a54de7fe98564ce670d9425c89c.png"/><Relationship Id="rId30" Type="http://schemas.openxmlformats.org/officeDocument/2006/relationships/image" Target="media/6612fcd191628a0bc30615011fd1b34878da9515.png"/><Relationship Id="rId31" Type="http://schemas.openxmlformats.org/officeDocument/2006/relationships/image" Target="media/e2ccf62f48e92e82e3d897a5379bf2c580267fad.png"/><Relationship Id="rId32" Type="http://schemas.openxmlformats.org/officeDocument/2006/relationships/image" Target="media/0897f311e5cbffecbbe06a7ec01f09ab8e5e0710.png"/><Relationship Id="rId33" Type="http://schemas.openxmlformats.org/officeDocument/2006/relationships/image" Target="media/6126286bee20cf8b01464e351d7a26ba2dd68ffb.png"/><Relationship Id="rId34" Type="http://schemas.openxmlformats.org/officeDocument/2006/relationships/image" Target="media/3964fb994282e9090b06f98a92091ef0c025b273.png"/><Relationship Id="rId35" Type="http://schemas.openxmlformats.org/officeDocument/2006/relationships/image" Target="media/c186a4abce57fb872cd303c60ab1117ebc25455f.png"/><Relationship Id="rId36" Type="http://schemas.openxmlformats.org/officeDocument/2006/relationships/image" Target="media/806bcde468984aadc88cffb24a22441c8f646a4a.png"/><Relationship Id="rId37" Type="http://schemas.openxmlformats.org/officeDocument/2006/relationships/image" Target="media/bf577d13a0a682b653e02a9c3ca9b3cb35eae0f3.png"/><Relationship Id="rId38" Type="http://schemas.openxmlformats.org/officeDocument/2006/relationships/image" Target="media/6e4680ecbf0aa76ff00a7a0ea476ccf717a865f6.png"/><Relationship Id="rId39" Type="http://schemas.openxmlformats.org/officeDocument/2006/relationships/image" Target="media/4609d9854ebb5b18f53a96249b39f91c7e2c04ad.png"/><Relationship Id="rId40" Type="http://schemas.openxmlformats.org/officeDocument/2006/relationships/image" Target="media/3b142e586c3e5210e292c0bd5ee719159683478e.png"/><Relationship Id="rId41" Type="http://schemas.openxmlformats.org/officeDocument/2006/relationships/image" Target="media/438682b6a2423995622f6a04ae6a9ebde6b1b73c.png"/><Relationship Id="rId42" Type="http://schemas.openxmlformats.org/officeDocument/2006/relationships/image" Target="media/ff2104c08e4ce6fa65fd948e42737135974bf6c7.png"/><Relationship Id="rId43" Type="http://schemas.openxmlformats.org/officeDocument/2006/relationships/image" Target="media/68d45e370e4ab8a3c4bafdcf440cb34d293a9255.png"/><Relationship Id="rId44" Type="http://schemas.openxmlformats.org/officeDocument/2006/relationships/image" Target="media/3fe8812a3136aa29736494e44ab849dc7868369a.png"/><Relationship Id="rId45" Type="http://schemas.openxmlformats.org/officeDocument/2006/relationships/image" Target="media/a1d8382ea339674a86ad98c542df97d034942bd7.png"/><Relationship Id="rId46" Type="http://schemas.openxmlformats.org/officeDocument/2006/relationships/image" Target="media/dbaedb451f19eb2ab39541b003ff01e6177ade9c.png"/><Relationship Id="rId47" Type="http://schemas.openxmlformats.org/officeDocument/2006/relationships/image" Target="media/b6d2ae5f89549048d7c9582bcdc25f29ceb9fdcd.png"/><Relationship Id="rId48" Type="http://schemas.openxmlformats.org/officeDocument/2006/relationships/image" Target="media/167c415de4f58364ea21a1bf111a48492f86fbc6.png"/><Relationship Id="rId49" Type="http://schemas.openxmlformats.org/officeDocument/2006/relationships/image" Target="media/b37f9670dd9b87d723848d2dd6de478ef16272e2.png"/><Relationship Id="rId50" Type="http://schemas.openxmlformats.org/officeDocument/2006/relationships/image" Target="media/a8802a15131acf6d8cfb6d2b23415df3be75356e.png"/><Relationship Id="rId51" Type="http://schemas.openxmlformats.org/officeDocument/2006/relationships/image" Target="media/339b3b3fea9fdc23356260d546ff3bd5cd9a17b1.png"/><Relationship Id="rId52" Type="http://schemas.openxmlformats.org/officeDocument/2006/relationships/image" Target="media/53969dddf59bc1c8f16c396151f494cd3593db61.png"/><Relationship Id="rId53" Type="http://schemas.openxmlformats.org/officeDocument/2006/relationships/image" Target="media/30cd18c8e68475a6e62bd49f65e7c79a20aa9d06.png"/><Relationship Id="rId54" Type="http://schemas.openxmlformats.org/officeDocument/2006/relationships/image" Target="media/71234321f10eba3adcbbd976d76091adc5da5213.png"/><Relationship Id="rId55" Type="http://schemas.openxmlformats.org/officeDocument/2006/relationships/image" Target="media/ee3ce46107e934bd3d11829fefbef3a94a67d56d.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2026-10-17T20:46:49.570Z</dcterms:created>
  <dcterms:modified xsi:type="dcterms:W3CDTF">2026-10-17T20:46:49.570Z</dcterms:modified>
</cp:coreProperties>
</file>

<file path=docProps/custom.xml><?xml version="1.0" encoding="utf-8"?>
<Properties xmlns="http://schemas.openxmlformats.org/officeDocument/2006/custom-properties" xmlns:vt="http://schemas.openxmlformats.org/officeDocument/2006/docPropsVTypes"/>
</file>