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sdt>
      <w:sdtPr>
        <w:rPr>
          <w:rFonts w:ascii="Arial" w:hAnsi="Arial" w:cs="Arial"/>
          <w:color w:val="1A1A1A"/>
          <w:sz w:val="16"/>
          <w:szCs w:val="16"/>
        </w:rPr>
        <w:id w:val="1000"/>
        <w:showingPlcHdr/>
      </w:sdtPr>
      <w:sdtContent>
        <w:p>
          <w:pPr>
            <w:shd w:fill="EEF1F6" w:color="auto" w:val="clear"/>
            <w:spacing w:after="80" w:line="228"/>
          </w:pPr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p>
      </w:sdtContent>
    </w:sdt>
    <w:tbl>
      <w:tblPr>
        <w:tblW w:type="dxa" w:w="1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50"/>
        <w:gridCol w:w="250"/>
        <w:gridCol w:w="3800"/>
      </w:tblGrid>
      <w:tr>
        <w:tc>
          <w:tcPr>
            <w:tcW w:type="dxa" w:w="6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1"/>
              <w:showingPlcHdr/>
            </w:sdtPr>
            <w:sdtContent>
              <w:p>
                <w:pPr>
                  <w:spacing w:after="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how likelihood and impact were scored (1–5) in Figure 1 and which risks fall in the high-risk zone.]</w:t>
                </w:r>
              </w:p>
            </w:sdtContent>
          </w:sdt>
          <w:p>
            <w:pPr>
              <w:spacing w:after="0" w:before="0" w:line="500" w:lineRule="exact"/>
            </w:pPr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2"/>
              <w:showingPlcHdr/>
            </w:sdtPr>
            <w:sdtContent>
              <w:p>
                <w:pPr>
                  <w:spacing w:after="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here. Suggested format per risk: OR1 – title (e.g. EBITDA margin compression), description, impact on value (Figure 2) and mitigants. Continue with OR2, OR3…]</w:t>
                </w:r>
              </w:p>
            </w:sdtContent>
          </w:sdt>
          <w:p>
            <w:pPr>
              <w:spacing w:after="0" w:before="0" w:line="2800" w:lineRule="exact"/>
            </w:pPr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3"/>
              <w:showingPlcHdr/>
            </w:sdtPr>
            <w:sdtContent>
              <w:p>
                <w:pPr>
                  <w:spacing w:after="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here. e.g. FR1 – revaluation of UF-indexed debt (Figure 4); FR2 – higher cost of capital (Figure 3). Include description and mitigants.]</w:t>
                </w:r>
              </w:p>
            </w:sdtContent>
          </w:sdt>
          <w:p>
            <w:pPr>
              <w:spacing w:after="0" w:before="0" w:line="1700" w:lineRule="exact"/>
            </w:pPr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4"/>
              <w:showingPlcHdr/>
            </w:sdtPr>
            <w:sdtContent>
              <w:p>
                <w:pPr>
                  <w:spacing w:after="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here. e.g. MR1 – FX exposure in Peru and Colombia. Include description and mitigants.]</w:t>
                </w:r>
              </w:p>
            </w:sdtContent>
          </w:sdt>
          <w:p>
            <w:pPr>
              <w:spacing w:after="0" w:before="0" w:line="1100" w:lineRule="exact"/>
            </w:pPr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5"/>
              <w:showingPlcHdr/>
            </w:sdtPr>
            <w:sdtContent>
              <w:p>
                <w:pPr>
                  <w:spacing w:after="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here. e.g. RR1 – related-party transactions. Include description and mitigants.]</w:t>
                </w:r>
              </w:p>
            </w:sdtContent>
          </w:sdt>
          <w:p>
            <w:pPr>
              <w:spacing w:after="0" w:before="0" w:line="1100" w:lineRule="exact"/>
            </w:pPr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6"/>
              <w:showingPlcHdr/>
            </w:sdtPr>
            <w:sdtContent>
              <w:p>
                <w:pPr>
                  <w:spacing w:after="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which drivers move the value per share most (Figures 2–4), the downside versus the base case, and whether the recommendation holds.]</w:t>
                </w:r>
              </w:p>
            </w:sdtContent>
          </w:sdt>
          <w:p>
            <w:pPr>
              <w:spacing w:after="0" w:before="0" w:line="1900" w:lineRule="exact"/>
            </w:pP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2332948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2332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(value per share, CLP)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2332948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2332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1829763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1829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1601043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1601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pgSz w:w="12240" w:h="15840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8746b5a0733c5134444337eaf302215a3408f13.png"/><Relationship Id="rId8" Type="http://schemas.openxmlformats.org/officeDocument/2006/relationships/image" Target="media/c4f29ecd9f75820080661cc6a8d359da3c036502.png"/><Relationship Id="rId9" Type="http://schemas.openxmlformats.org/officeDocument/2006/relationships/image" Target="media/bad2f42a66d6670eff282734d8d3328c89bfd44e.png"/><Relationship Id="rId10" Type="http://schemas.openxmlformats.org/officeDocument/2006/relationships/image" Target="media/118e7ebd2f941497e688d3ff2cdaea3c98b3f0c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2026-10-07T01:15:24.666Z</dcterms:created>
  <dcterms:modified xsi:type="dcterms:W3CDTF">2026-10-07T01:15:24.666Z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