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sdt>
      <w:sdtPr>
        <w:rPr>
          <w:rFonts w:ascii="Arial" w:hAnsi="Arial" w:cs="Arial"/>
          <w:color w:val="1A1A1A"/>
          <w:sz w:val="16"/>
          <w:szCs w:val="16"/>
        </w:rPr>
        <w:id w:val="1000"/>
        <w:showingPlcHdr/>
      </w:sdtPr>
      <w:sdtContent>
        <w:p>
          <w:pPr>
            <w:shd w:fill="EEF1F6" w:color="auto" w:val="clear"/>
            <w:spacing w:after="80" w:line="228"/>
          </w:pPr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p>
      </w:sdtContent>
    </w:sdt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1 and which risks fall in the high-risk zone.]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2–4: which drivers move the value per share most, the downside versus the base case, and whether the recommendation holds.]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16"/>
      <w:szCs w:val="1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91c504cdafac82d39d0b08b96e6f34d33f4f7b3.png"/><Relationship Id="rId10" Type="http://schemas.openxmlformats.org/officeDocument/2006/relationships/image" Target="media/152972a9c0a42494cb472120ade4ceb5c6155868.png"/><Relationship Id="rId11" Type="http://schemas.openxmlformats.org/officeDocument/2006/relationships/image" Target="media/b8f294e63ccf71915e5963cd50717c82f918e8dc.png"/><Relationship Id="rId12" Type="http://schemas.openxmlformats.org/officeDocument/2006/relationships/image" Target="media/9d31dd3e76b3dcb95aa175fdaea7bf1546522fc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2026-10-07T02:11:27.125Z</dcterms:created>
  <dcterms:modified xsi:type="dcterms:W3CDTF">2026-10-07T02:11:27.125Z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