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ANEXOS: ANÁLISIS FINANCIERO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Supuestos del forecast (CLP nominales, 2026E–2031E)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50"/>
              <w:gridCol w:w="2250"/>
              <w:gridCol w:w="1375"/>
              <w:gridCol w:w="450"/>
            </w:tblGrid>
            <w:tr>
              <w:trPr>
                <w:tblHeader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Variable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Supuesto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Base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1"/>
                      <w:szCs w:val="11"/>
                    </w:rPr>
                    <w:t xml:space="preserve">Tag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Ancla 2026E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1S26 real + 2S26E que repite el crecimiento en moneda local de 1S26 (Chile 6,1%, Perú 7,9%, Colombia 7,3%)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EEFF intermedios jun-26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Inflación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IPC de consenso 2026–28; metas de los bancos centrales desde 2029 (CL 3%, PE 2%, CO 3%)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Arriendos indexados a UF/IPC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Crecimiento real mismas tiendas (sin parking)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1,5% → 0,6%; Perú 1,5% → 0,4%; Colombia 2,5% → 2,1% (2027E → 2031E)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Puntos medios de la tasación (Nota 11)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Ocupación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96,1% y Colombia 97,5% constantes; Perú 93,8% → 94,6% en 2028E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2T26 real; Perú vuelve a 2025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Parking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12,1% / 6,4% / 9,0% de los ingresos 2026; crecimiento real 9% → 2%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Release 2T26 (UDM +23,7%)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GLA del pipeline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8.900 m² (2026), 72.950 m² (2027), 41.850 m² (2028); rampa 35/90/100%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Release 2T26, proyectos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Expansión post-2028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27.075 m² al año desde 2029E (55% Chile / 45% Perú); USD 3.603/m² indexado a IPC, 50% en t−2 y 50% en t−1; margen EBITDA 80,9%; yield on cost 6,9%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GLA orgánico promedio 2022, 2023, 2025; costo por m² del pipeline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Tipo de cambio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Consenso de fin de año 2026–28; paridad de poder de compra después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Bloomberg ECFC, 5-oct-26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Margen EBITDA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Chile 80%, Perú 82%, Colombia 74% (≈ 79,7% consolidado)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2024–UDM 2T26; no se extrapola el máximo 2025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D&amp;A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0,70% de los ingresos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UDM 2T26 (4,8 / 677,3)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Impuesto en caja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16,8% (2026E) → 19% → 21,5% → 24% → 27% (2030E–31E)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Impuesto corriente 1S26; escudos se agotan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Capex de proyectos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USD 445 MM restantes a jun-26, repartidos hasta la apertura (2026E–28E)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Release 2T26, pipeline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Mantención + TI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5,5% de los ingresos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2024 (4,8%) – UDM 2T26 (~6,6%)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Capital de trabajo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Capital de trabajo neto operativo en 15,6% de los ingresos (dic-25); 2026E cubre solo 2S26E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EEFF dic-25, primer cierre con Perú completo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Apalancamiento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DFN/EBITDA 2,36x (jun-26) → 3,5x a dic-31E, lineal; la caja sobre el plan se devuelve con recompras o dividendos extraordinarios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Supuesto del equipo; pares 2,1x–5,7x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Costo de la deuda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Costo financiero neto 3,08% de la DFN inicial + 25 pb reales por vuelta sobre 2,36x; reajuste UF sobre 79% de la deuda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1S26 anualizado; supuesto del equipo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C/S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Excluido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Greenfield (USD 0,7 MM UDM vs 55,2 MM en 2023), Gran Plaza; proyectos sin fecha en Chile reemplazados por la expansión post-2028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Sin fecha o inmaterial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Payout</w:t>
                  </w:r>
                </w:p>
              </w:tc>
              <w:tc>
                <w:tcPr>
                  <w:tcW w:type="dxa" w:w="22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40% de la utilidad distribuible con un año de rezago, más las distribuciones adicionales</w:t>
                  </w:r>
                </w:p>
              </w:tc>
              <w:tc>
                <w:tcPr>
                  <w:tcW w:type="dxa" w:w="13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Política del directorio (Nota 20e)</w:t>
                  </w:r>
                </w:p>
              </w:tc>
              <w:tc>
                <w:tcPr>
                  <w:tcW w:type="dxa" w:w="45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1"/>
                      <w:szCs w:val="11"/>
                    </w:rPr>
                    <w:t xml:space="preserve">R/S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Tags: R reportado · C cálculo del equipo · S supuesto del equipo · P consenso de mercado. Fuente: EEFF Plaza S.A. (CMF); release 2T26; Bloomberg ECFC; análisis del equipo.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Estados financieros resumidos (CLP mil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Estado de resultados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UDM 2T26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370,9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494,6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653,9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677,3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 (definición compañía)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(2,2)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(2,2)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(2,1)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(3,6)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(4,8)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Revalorización y otras partidas op., neto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83,1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193,7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157,3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1.445,4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1.190,4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Resultado operacional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363,6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513,8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535,9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1.968,1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1.730,6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Costo financiero neto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(23,8)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(30,9)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(54,0)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(44,9)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Reajuste UF de la deuda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(55,3)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(53,2)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(43,8)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(50,4)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Utilidad atribuible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157,7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349,8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335,9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1.431,0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1.258,1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FFO atribuible (compañía)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218,9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257,2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303,2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405,3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419,9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Balance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dic-23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dic-24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dic-25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Caja y equivalentes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202,0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179,2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268,3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347,6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Propiedades de inversión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4.166,5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5.356,5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6.961,9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7.309,8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Activos totales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4.796,3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5.915,1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7.583,6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7.985,7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Deuda financiera bruta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1.264,0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1.617,6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1.579,3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1.633,4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Pasivos por impuesto diferido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656,5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892,9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1.248,8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1.313,7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Patrimonio atribuible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2.601,1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3.157,9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4.482,9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4.820,9</w:t>
                  </w:r>
                </w:p>
              </w:tc>
            </w:tr>
          </w:tbl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Flujo de caja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1S26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Flujo operativo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295,1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300,8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441,1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258,2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(119,1)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(76,3)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(103,6)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(84,2)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Adquisiciones (incl. minoritarios)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(164,6)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(400,4)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(0,3)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Emisión de acciones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308,4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Endeudamiento neto / (pago)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(124,0)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(86,5)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Intereses pagados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(55,6)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(54,4)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(68,2)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(30,1)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Dividendos pagados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(0,0)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(125,8)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(108,5)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(87,6)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UDM = 2025 − 1S25 + 1S26. 2024 reexpresado en los EEFF dic-25; 2022A de los EEFF dic-23 reexpresados; las líneas de financiamiento 2022 no están en los archivos usados. Fuente: EEFF Plaza S.A. (CMF) dic-24, dic-25, jun-26.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25"/>
        <w:gridCol w:w="216"/>
        <w:gridCol w:w="5225"/>
      </w:tblGrid>
      <w:tr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Tablero de ratios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775"/>
              <w:gridCol w:w="775"/>
              <w:gridCol w:w="775"/>
              <w:gridCol w:w="775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jun-26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normalizado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8,1%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8,3%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9,7%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ROA, normalizado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4,2%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ROIC (NOPAT al 27%, capital a valor razonable)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6,6%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7,3%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Razón corriente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1,18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1,54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Caja / pasivos corrientes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0,83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0,52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1,71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Pasivos totales / patrimonio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0,85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0,68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0,64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 (DFN / propiedades de inversión)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25,5%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26,9%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18,8%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17,6%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DFN / EBITDA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3,30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3,78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2,49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2,36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costos financieros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6,9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6,8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Rotación de activos (x)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0,090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0,092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0,097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Costos operativos / ingresos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23,8%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23,5%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20,1%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21,2%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Días de cobro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n,m,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66</w:t>
                  </w:r>
                </w:p>
              </w:tc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Apalancamiento jun-26 sobre EBITDA UDM; costos operativos = costo de ventas + administración (1S26). Días de cobro dic-24 n.s. (Perú consolida un mes). Los retornos a jun-26 requieren el balance de jun-25. Fuente: EEFF (CMF); Análisis Razonado 1S26; análisis del equipo.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El EBITDA que usamos es el de la compañía: la revalorización se elimina una sola vez (CLP mil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620"/>
              <w:gridCol w:w="620"/>
              <w:gridCol w:w="620"/>
              <w:gridCol w:w="620"/>
              <w:gridCol w:w="620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2022A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2023A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2024A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2025A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UDM 2T26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Resultado operacional + D&amp;A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365,8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515,9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538,0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1.971,7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1.735,4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(−) Otros ingresos op. (principalmente valor razonable)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(85,4)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(195,6)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(162,5)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(1.448,9)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(1.194,5)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(+) Otros gastos op. (no recurrentes)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2,3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1,8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3,5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4,1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 ajustado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282,7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322,2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380,6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526,2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544,9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Control vs EBITDA de la compañía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0,0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El campo EBITDA de Bloomberg incluye la revalorización y no se usa. Fuente: EEFF (CMF), Notas 23.1–23.3; release 2T26; análisis del equipo.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5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Proyección del caso base (CLP mil MM)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795"/>
              <w:gridCol w:w="571"/>
              <w:gridCol w:w="571"/>
              <w:gridCol w:w="571"/>
              <w:gridCol w:w="571"/>
              <w:gridCol w:w="571"/>
              <w:gridCol w:w="575"/>
            </w:tblGrid>
            <w:tr>
              <w:trPr>
                <w:tblHeader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CLP mil MM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2026E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2027E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2028E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2029E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2030E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2031E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Chile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498,4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533,9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571,2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603,1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628,7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652,8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Perú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131,3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145,2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159,8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171,6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178,6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184,9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Colombia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75,2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88,1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89,4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92,2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96,8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101,8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Eliminaciones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Ingresos — expansión post-2028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11,7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21,8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Ingresos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704,0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767,2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820,5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870,1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915,9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961,3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Crecimiento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5,3%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EBITDA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561,3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611,4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654,2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694,0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730,6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E4E8F0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766,9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Margen EBITDA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79,7%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79,8%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79,8%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D&amp;A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(5,4)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(5,8)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(6,4)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(6,8)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556,4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606,0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648,5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687,9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724,1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760,1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Tasa de impuesto en caja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16,8%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19,0%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21,5%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24,0%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27,0%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27,0%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pipeline + mantención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(209,2)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(240,7)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(151,5)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(47,7)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(49,7)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(51,7)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Capex — expansión post-2028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—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(46,3)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(95,3)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(98,2)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(101,1)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(104,2)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Δ capital de trabajo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(3,9)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(9,9)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(8,3)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(7,1)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(7,1)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FFO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428,5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460,4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473,1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481,5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482,3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501,6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Utilidad distribuible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380,0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427,7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434,4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436,9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431,6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444,6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Dividendos ordinarios (40%)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(147,7)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(152,0)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(171,1)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(173,8)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(174,8)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(172,6)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Distribuciones adicionales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(121,0)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(236,1)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(268,0)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(380,1)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(378,6)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(404,8)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DFN / EBITDA (x)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2,46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2,67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2,88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3,09</w:t>
                  </w:r>
                </w:p>
              </w:tc>
              <w:tc>
                <w:tcPr>
                  <w:tcW w:type="dxa" w:w="571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3,29</w:t>
                  </w:r>
                </w:p>
              </w:tc>
              <w:tc>
                <w:tcPr>
                  <w:tcW w:type="dxa" w:w="57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3,50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= 1S26 real + 2S26E; el capex incluye CLP 84,2 mil MM gastados en 1S26; Δ capital de trabajo y distribuciones adicionales cubren solo 2S26E. FFO = (EBITDA − costo financiero neto) × (1 − impuesto en caja), antes de minoritarios (~1%); utilidad distribuible = FFO − reajuste UF. Fuente: modelo de valoración v2 (hojas DCF, Deuda y Expansion); análisis del equipo.</w:t>
            </w:r>
          </w:p>
          <w:p>
            <w:pPr>
              <w:spacing w:after="30" w:before="10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Anexo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En base comparable, Mallplaza tiene el ROE normalizado más alto de sus pares locales (2025)</w:t>
            </w:r>
          </w:p>
          <w:tbl>
            <w:tblPr>
              <w:tblW w:type="dxa" w:w="5225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2125"/>
              <w:gridCol w:w="1033"/>
              <w:gridCol w:w="1033"/>
              <w:gridCol w:w="1034"/>
            </w:tblGrid>
            <w:tr>
              <w:trPr>
                <w:tblHeader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/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Mallplaza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Parque Arauco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284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2"/>
                      <w:szCs w:val="12"/>
                    </w:rPr>
                    <w:t xml:space="preserve">Cencosud Shopping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Revalorización / propiedades iniciales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27,0%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2,0%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EBITDA / propiedades de inversión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7,3% (Chile)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7,6%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7,8%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ROE, reportado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37,5%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9,8%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10,5%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ROE, normalizado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9,7%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7,8%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DF1CC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1A"/>
                      <w:sz w:val="12"/>
                      <w:szCs w:val="12"/>
                    </w:rPr>
                    <w:t xml:space="preserve">8,0%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LTV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18,8%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42,9%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16,3%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DFN / EBITDA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2,49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5,68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FFFFF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25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Activos / patrimonio atribuible, cierre (x)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1,69</w:t>
                  </w:r>
                </w:p>
              </w:tc>
              <w:tc>
                <w:tcPr>
                  <w:tcW w:type="dxa" w:w="1033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2,69</w:t>
                  </w:r>
                </w:p>
              </w:tc>
              <w:tc>
                <w:tcPr>
                  <w:tcW w:type="dxa" w:w="1034"/>
                  <w:tcBorders>
                    <w:top w:val="none" w:color="FFFFFF" w:sz="0"/>
                    <w:left w:val="none" w:color="FFFFFF" w:sz="0"/>
                    <w:bottom w:val="single" w:color="D5D9E0" w:sz="4"/>
                    <w:right w:val="none" w:color="FFFFFF" w:sz="0"/>
                  </w:tcBorders>
                  <w:shd w:fill="F7F8FB" w:color="auto" w:val="clear"/>
                  <w:tcMar>
                    <w:top w:type="dxa" w:w="18"/>
                    <w:left w:type="dxa" w:w="60"/>
                    <w:bottom w:type="dxa" w:w="18"/>
                    <w:right w:type="dxa" w:w="60"/>
                  </w:tcMar>
                  <w:vAlign w:val="center"/>
                </w:tcPr>
                <w:p>
                  <w:pPr>
                    <w:spacing w:line="204" w:lineRule="auto"/>
                    <w:jc w:val="righ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12"/>
                      <w:szCs w:val="12"/>
                    </w:rPr>
                    <w:t xml:space="preserve">1,51</w:t>
                  </w:r>
                </w:p>
              </w:tc>
            </w:tr>
          </w:tbl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Mallplaza normalizado con la utilidad distribuible auditada; pares con utilidad neta − revalorización × (1 − 27%). Las propiedades de Parque Arauco excluyen JV, lo que sobrestima su LTV. Fuente: EEFF (CMF); Bloomberg FA (PARAUCO CI, CENCOMAL CI; 28-sep-26); análisis del equipo.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A-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2026-10-14T17:54:53.721Z</dcterms:created>
  <dcterms:modified xsi:type="dcterms:W3CDTF">2026-10-14T17:54:53.721Z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