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[Y]: CORPORATE GOVERNANCE AND SUSTAINABILITY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Supporting information for the ESG section: ownership structure, Board of Directors, compliance, stakeholder engagement model, organisational culture and waste. Main source: Mallplaza Annual Report 2025.</w:t>
      </w:r>
    </w:p>
    <w:p>
      <w:pPr>
        <w:pBdr>
          <w:bottom w:val="single" w:color="E9004B" w:sz="8" w:space="1"/>
        </w:pBdr>
        <w:spacing w:after="50" w:before="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1. OWNERSHIP STRUCTURE (31-DEC-2025)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Figure S1: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Shareholding by type of shareholder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Mallplaza Annual Report 2025 (NCG 461 2.3.3). No ADRs or certificates issued abroad.</w:t>
      </w:r>
    </w:p>
    <w:p>
      <w:pPr>
        <w:spacing w:before="8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66"/>
        <w:gridCol w:w="2200"/>
        <w:gridCol w:w="2200"/>
      </w:tblGrid>
      <w:tr>
        <w:trPr>
          <w:tblHeader/>
        </w:trPr>
        <w:tc>
          <w:tcPr>
            <w:tcW w:type="dxa" w:w="6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Ten largest shareholders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Shares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% of shares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Desarrollos Inmobiliarios SpA (Falabella)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1,161,849,244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53.05%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Inversiones Avenida Borgoño Limitada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197,439,955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9.02%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Banchile Corredores de Bolsa S.A.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59,447,149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2.71%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BCI Corredor de Bolsa S.A.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53,553,765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2.45%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Habitat S.A. Pension Fund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50,733,976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2.32%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Santiago Stock Exchange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41,532,310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1.90%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Provida S.A. Pension Fund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37,746,440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1.72%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Banco Santander on behalf of foreign investors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35,594,345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1.63%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Capital S.A. Pension Fund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34,539,038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1.58%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Habitat S.A. Pension Fund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30,039,097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1.37%</w:t>
            </w:r>
          </w:p>
        </w:tc>
      </w:tr>
    </w:tbl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2. BOARD OF DIRECTORS (ELECTED 22-APR-2025)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Figure S2: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Board members (red: independent director; blue: chairman)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9 full members, no alternates; one independent director. Each director holds at most four positions in other listed companies. Tomás Müller, Manuela Sánchez and Juan Pablo Montero were directors until 22-Apr-2025. Source: Mallplaza Annual Report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3. ETHICS AND COMPLIANCE,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666"/>
        <w:gridCol w:w="2000"/>
      </w:tblGrid>
      <w:tr>
        <w:trPr>
          <w:tblHeader/>
        </w:trPr>
        <w:tc>
          <w:tcPr>
            <w:tcW w:type="dxa" w:w="8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Matter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Cases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Breaches of laws and regulations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0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Corruption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0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Breaches of customer rights (Consumer Protection Law 19,496)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27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Breaches of employee rights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Proceedings by the Environment Superintendency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Complaints of workplace, sexual harassment and violence at work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Mallplaza Annual Report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4. STAKEHOLDER ENGAGEMENT MODEL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Figure S3: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Implementation process of the engagement model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Mallplaza Annual Report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5. ORGANISATIONAL CULTURE: 2025 CULTURE SURVEY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76"/>
        <w:gridCol w:w="120"/>
        <w:gridCol w:w="2576"/>
        <w:gridCol w:w="120"/>
        <w:gridCol w:w="2576"/>
        <w:gridCol w:w="120"/>
        <w:gridCol w:w="2578"/>
      </w:tblGrid>
      <w:tr>
        <w:tc>
          <w:tcPr>
            <w:tcW w:type="dxa" w:w="2576"/>
            <w:tcBorders>
              <w:top w:val="single" w:color="E900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E9004B"/>
                <w:sz w:val="30"/>
                <w:szCs w:val="30"/>
              </w:rPr>
              <w:t xml:space="preserve">75%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Engagement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−2 pp vs 2024 · 2025 target: 80%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6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37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eNPS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−10 vs 2024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6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88%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Leadership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+2 pp vs 2024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8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93%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Participation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+3 pp vs 2024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Leadership (88%) is the main asset to leverage the strategy. Source: Mallplaza Annual Report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6. WASTE,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S4: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Waste generation by country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323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Source: Mallplaza Annual Report 2025.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before="200"/>
            </w:pP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32,424.86 tonnes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of waste across the region: 76% in Chile, 16% in Colombia and 7% in Peru.</w:t>
            </w: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46.2% recovered: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14,987.57 t of non-hazardous waste went to energy recovery through biogas (40.4%), recycling (36.1%) and composting (23.5%); the rest went to disposal, mainly sanitary landfills.</w:t>
            </w: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Hazardous waste: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9.03 t, a marginal amount given the nature of the business.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76e5c5d5e3b831d3a6082e34880dd0764b9702.png"/><Relationship Id="rId10" Type="http://schemas.openxmlformats.org/officeDocument/2006/relationships/image" Target="media/6c32e3d1a1d4ea4565596481224b7e392927ea41.png"/><Relationship Id="rId11" Type="http://schemas.openxmlformats.org/officeDocument/2006/relationships/image" Target="media/fb371acf9afb43003bfd5fcfe998ff3f42126817.png"/><Relationship Id="rId12" Type="http://schemas.openxmlformats.org/officeDocument/2006/relationships/image" Target="media/9d7f4f37ccf94ef7fd235868df77621056da952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2026-10-14T17:58:33.592Z</dcterms:created>
  <dcterms:modified xsi:type="dcterms:W3CDTF">2026-10-14T17:58:33.592Z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