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E1), pero esto se contra 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dónde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pBdr>
                <w:bottom w:val="single" w:color="E9004B" w:sz="8" w:space="1"/>
              </w:pBdr>
              <w:spacing w:after="50" w:before="90"/>
            </w:pPr>
            <w:r>
              <w:rPr>
                <w:rFonts w:ascii="Arial" w:cs="Arial" w:eastAsia="Arial" w:hAnsi="Arial"/>
                <w:b/>
                <w:bCs/>
                <w:color w:val="14284B"/>
                <w:sz w:val="16"/>
                <w:szCs w:val="16"/>
              </w:rPr>
              <w:t xml:space="preserve">ENVIROMENTAL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de directas e indirectas para 2035 (65.6% succes rate 2025). </w:t>
            </w:r>
            <w:r>
              <w:rPr>
                <w:rFonts w:ascii="Arial" w:cs="Arial" w:eastAsia="Arial" w:hAnsi="Arial"/>
                <w:b/>
                <w:bCs/>
                <w:i w:val="false"/>
                <w:iCs w:val="false"/>
                <w:color w:val="14284B"/>
                <w:sz w:val="16"/>
                <w:szCs w:val="16"/>
              </w:rPr>
              <w:t xml:space="preserve">Sustentability índices:</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Sustentability Yearbook ;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 rate 2025; figura E2). La meta propuesta de eficiencia eléctrica es que el 100% sea de energías renovables en 2026 (89.3% succes rate). En 2025 la proporción anual fue 0.16 MWh/m2 (Energía/GLA), siendo 0.14 renovable y 0.014 no renovable) (figura E3).</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EDGGE. En 2025 la proporción anual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 rate 2025), esto es vital para la gestión de emisiones GEI, dónde Bloomberg reconoce a PLAZA como Líder de la industria global. Waste: PLAZA propuso un 60% de valorización de residuos generados el 2025 (94.8% succes rate; figura E3 y Anexo [Y], figura S4),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[Y], figura S3),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[Y],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E4). Para gestionar emergencias, cada centro cuenta con manuales de emergencias adaptados a los contextos geográficos locales, ejecutando simulacros para prevenir y educar a la comunidad (en 2025 se ejecutaron 52 simulacros) y en cuanto a la privacidad, PLAZA implemento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E4) y hay una brecha salarial entre hombres y mujeres con Media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E1: </w:t>
            </w:r>
            <w:r>
              <w:rPr>
                <w:rFonts w:ascii="Arial" w:cs="Arial" w:eastAsia="Arial" w:hAnsi="Arial"/>
                <w:color w:val="14284B"/>
                <w:sz w:val="14"/>
                <w:szCs w:val="14"/>
              </w:rPr>
              <w:t xml:space="preserve">Puntaje ESG de Bloomberg y ratings externos.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spacing w:after="30" w:before="90" w:line="228" w:lineRule="auto"/>
            </w:pPr>
            <w:r>
              <w:rPr>
                <w:rFonts w:ascii="Arial" w:cs="Arial" w:eastAsia="Arial" w:hAnsi="Arial"/>
                <w:b/>
                <w:bCs/>
                <w:color w:val="14284B"/>
                <w:sz w:val="14"/>
                <w:szCs w:val="14"/>
              </w:rPr>
              <w:t xml:space="preserve">Figura E2: </w:t>
            </w:r>
            <w:r>
              <w:rPr>
                <w:rFonts w:ascii="Arial" w:cs="Arial" w:eastAsia="Arial" w:hAnsi="Arial"/>
                <w:color w:val="14284B"/>
                <w:sz w:val="14"/>
                <w:szCs w:val="14"/>
              </w:rPr>
              <w:t xml:space="preserve">Metas ambientales: avance a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p>
            <w:pPr>
              <w:spacing w:after="30" w:before="90" w:line="228" w:lineRule="auto"/>
            </w:pPr>
            <w:r>
              <w:rPr>
                <w:rFonts w:ascii="Arial" w:cs="Arial" w:eastAsia="Arial" w:hAnsi="Arial"/>
                <w:b/>
                <w:bCs/>
                <w:color w:val="14284B"/>
                <w:sz w:val="14"/>
                <w:szCs w:val="14"/>
              </w:rPr>
              <w:t xml:space="preserve">Figura E3: </w:t>
            </w:r>
            <w:r>
              <w:rPr>
                <w:rFonts w:ascii="Arial" w:cs="Arial" w:eastAsia="Arial" w:hAnsi="Arial"/>
                <w:color w:val="14284B"/>
                <w:sz w:val="14"/>
                <w:szCs w:val="14"/>
              </w:rPr>
              <w:t xml:space="preserve">Energía renovable y valorización de residuos,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spacing w:after="30" w:before="90" w:line="228" w:lineRule="auto"/>
            </w:pPr>
            <w:r>
              <w:rPr>
                <w:rFonts w:ascii="Arial" w:cs="Arial" w:eastAsia="Arial" w:hAnsi="Arial"/>
                <w:b/>
                <w:bCs/>
                <w:color w:val="14284B"/>
                <w:sz w:val="14"/>
                <w:szCs w:val="14"/>
              </w:rPr>
              <w:t xml:space="preserve">Figura E4: </w:t>
            </w:r>
            <w:r>
              <w:rPr>
                <w:rFonts w:ascii="Arial" w:cs="Arial" w:eastAsia="Arial" w:hAnsi="Arial"/>
                <w:color w:val="14284B"/>
                <w:sz w:val="14"/>
                <w:szCs w:val="14"/>
              </w:rPr>
              <w:t xml:space="preserve">Indicadores sociales.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En 2025 el Directorio compuesto por 9 miembros (sólo uno es catalogado como independiente; figura E5 y Anexo [Y], figura S2)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medio de su filial Desarrollos Inmobiliarios SpA (53,05% de las acciones; Anexo [Y], figura S1),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[Y],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E5: </w:t>
            </w:r>
            <w:r>
              <w:rPr>
                <w:rFonts w:ascii="Arial" w:cs="Arial" w:eastAsia="Arial" w:hAnsi="Arial"/>
                <w:color w:val="14284B"/>
                <w:sz w:val="14"/>
                <w:szCs w:val="14"/>
              </w:rPr>
              <w:t xml:space="preserve">Incentivos ESG y composición del Directorio.</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411ba3c606390f872c40f1b4caf70649f76480.png"/><Relationship Id="rId10" Type="http://schemas.openxmlformats.org/officeDocument/2006/relationships/image" Target="media/bb229cbba7c93bbcdce30a13122f93af2ad5370c.png"/><Relationship Id="rId11" Type="http://schemas.openxmlformats.org/officeDocument/2006/relationships/image" Target="media/8fe419fd582c8d631f848117014dd8fdfe47e661.png"/><Relationship Id="rId12" Type="http://schemas.openxmlformats.org/officeDocument/2006/relationships/image" Target="media/4bc2b50fc361b46958993af72b6fed0f46eec7a4.png"/><Relationship Id="rId13" Type="http://schemas.openxmlformats.org/officeDocument/2006/relationships/image" Target="media/b0111e7433e81502552964a66525843934b6bbc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2026-10-14T17:58:32.986Z</dcterms:created>
  <dcterms:modified xsi:type="dcterms:W3CDTF">2026-10-14T17:58:32.986Z</dcterms:modified>
</cp:coreProperties>
</file>

<file path=docProps/custom.xml><?xml version="1.0" encoding="utf-8"?>
<Properties xmlns="http://schemas.openxmlformats.org/officeDocument/2006/custom-properties" xmlns:vt="http://schemas.openxmlformats.org/officeDocument/2006/docPropsVTypes"/>
</file>