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28"/>
          <w:szCs w:val="28"/>
        </w:rPr>
        <w:t xml:space="preserve">APPENDIX [X]: MACROECONOMIC AND GEOPOLITICAL BACKDROP</w:t>
      </w:r>
    </w:p>
    <w:p>
      <w:pPr>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E9004B"/>
                <w:sz w:val="26"/>
                <w:szCs w:val="26"/>
              </w:rPr>
              <w:t xml:space="preserve">USD 114</w:t>
            </w:r>
          </w:p>
          <w:p>
            <w:pPr>
              <w:spacing w:after="10" w:line="216" w:lineRule="auto"/>
            </w:pPr>
            <w:r>
              <w:rPr>
                <w:rFonts w:ascii="Arial" w:cs="Arial" w:eastAsia="Arial" w:hAnsi="Arial"/>
                <w:b/>
                <w:bCs/>
                <w:color w:val="14284B"/>
                <w:sz w:val="13"/>
                <w:szCs w:val="13"/>
              </w:rPr>
              <w:t xml:space="preserve">Brent, Sep-26 average</w:t>
            </w:r>
          </w:p>
          <w:p>
            <w:pPr>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5.22%</w:t>
            </w:r>
          </w:p>
          <w:p>
            <w:pPr>
              <w:spacing w:after="10" w:line="216" w:lineRule="auto"/>
            </w:pPr>
            <w:r>
              <w:rPr>
                <w:rFonts w:ascii="Arial" w:cs="Arial" w:eastAsia="Arial" w:hAnsi="Arial"/>
                <w:b/>
                <w:bCs/>
                <w:color w:val="14284B"/>
                <w:sz w:val="13"/>
                <w:szCs w:val="13"/>
              </w:rPr>
              <w:t xml:space="preserve">10Y UST, 8-Oct-26</w:t>
            </w:r>
          </w:p>
          <w:p>
            <w:pPr>
              <w:spacing w:after="0" w:line="216" w:lineRule="auto"/>
            </w:pPr>
            <w:r>
              <w:rPr>
                <w:rFonts w:ascii="Arial" w:cs="Arial" w:eastAsia="Arial" w:hAnsi="Arial"/>
                <w:color w:val="5F5F5F"/>
                <w:sz w:val="12"/>
                <w:szCs w:val="12"/>
              </w:rPr>
              <w:t xml:space="preserve">24-year high (since 2002)</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117 bp</w:t>
            </w:r>
          </w:p>
          <w:p>
            <w:pPr>
              <w:spacing w:after="10" w:line="216" w:lineRule="auto"/>
            </w:pPr>
            <w:r>
              <w:rPr>
                <w:rFonts w:ascii="Arial" w:cs="Arial" w:eastAsia="Arial" w:hAnsi="Arial"/>
                <w:b/>
                <w:bCs/>
                <w:color w:val="14284B"/>
                <w:sz w:val="13"/>
                <w:szCs w:val="13"/>
              </w:rPr>
              <w:t xml:space="preserve">France–Germany spread</w:t>
            </w:r>
          </w:p>
          <w:p>
            <w:pPr>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3.0% | 4.7%</w:t>
            </w:r>
          </w:p>
          <w:p>
            <w:pPr>
              <w:spacing w:after="10" w:line="216" w:lineRule="auto"/>
            </w:pPr>
            <w:r>
              <w:rPr>
                <w:rFonts w:ascii="Arial" w:cs="Arial" w:eastAsia="Arial" w:hAnsi="Arial"/>
                <w:b/>
                <w:bCs/>
                <w:color w:val="14284B"/>
                <w:sz w:val="13"/>
                <w:szCs w:val="13"/>
              </w:rPr>
              <w:t xml:space="preserve">IMF 2026: GDP | inflation</w:t>
            </w:r>
          </w:p>
          <w:p>
            <w:pPr>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0.25–0.75%</w:t>
            </w:r>
          </w:p>
          <w:p>
            <w:pPr>
              <w:spacing w:after="10" w:line="216" w:lineRule="auto"/>
            </w:pPr>
            <w:r>
              <w:rPr>
                <w:rFonts w:ascii="Arial" w:cs="Arial" w:eastAsia="Arial" w:hAnsi="Arial"/>
                <w:b/>
                <w:bCs/>
                <w:color w:val="14284B"/>
                <w:sz w:val="13"/>
                <w:szCs w:val="13"/>
              </w:rPr>
              <w:t xml:space="preserve">Chile 2026 GDP (BCCh)</w:t>
            </w:r>
          </w:p>
          <w:p>
            <w:pPr>
              <w:spacing w:after="0" w:line="216" w:lineRule="auto"/>
            </w:pPr>
            <w:r>
              <w:rPr>
                <w:rFonts w:ascii="Arial" w:cs="Arial" w:eastAsia="Arial" w:hAnsi="Arial"/>
                <w:color w:val="5F5F5F"/>
                <w:sz w:val="12"/>
                <w:szCs w:val="12"/>
              </w:rPr>
              <w:t xml:space="preserve">down from 2–3% expected in Dec-25</w:t>
            </w:r>
          </w:p>
        </w:tc>
      </w:tr>
    </w:tbl>
    <w:p>
      <w:pPr>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spacing w:after="30" w:before="40" w:line="228" w:lineRule="auto"/>
      </w:pPr>
      <w:r>
        <w:rPr>
          <w:rFonts w:ascii="Arial" w:cs="Arial" w:eastAsia="Arial" w:hAnsi="Arial"/>
          <w:b/>
          <w:bCs/>
          <w:color w:val="14284B"/>
          <w:sz w:val="14"/>
          <w:szCs w:val="14"/>
        </w:rPr>
        <w:t xml:space="preserve">Figure A1: </w:t>
      </w:r>
      <w:r>
        <w:rPr>
          <w:rFonts w:ascii="Arial" w:cs="Arial" w:eastAsia="Arial" w:hAnsi="Arial"/>
          <w:color w:val="14284B"/>
          <w:sz w:val="14"/>
          <w:szCs w:val="14"/>
        </w:rPr>
        <w:t xml:space="preserve">Transmission map: from global shocks to Mallplaza's risks</w:t>
      </w:r>
    </w:p>
    <w:p>
      <w:pPr>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77227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 figures from Figures 24–26 of the report (Investment Risks).</w:t>
      </w:r>
    </w:p>
    <w:p>
      <w:pPr>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A2: </w:t>
            </w:r>
            <w:r>
              <w:rPr>
                <w:rFonts w:ascii="Arial" w:cs="Arial" w:eastAsia="Arial" w:hAnsi="Arial"/>
                <w:color w:val="14284B"/>
                <w:sz w:val="14"/>
                <w:szCs w:val="14"/>
              </w:rPr>
              <w:t xml:space="preserve">Brent crude oil price, 2022–2026 (USD/barrel)</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A3: </w:t>
            </w:r>
            <w:r>
              <w:rPr>
                <w:rFonts w:ascii="Arial" w:cs="Arial" w:eastAsia="Arial" w:hAnsi="Arial"/>
                <w:color w:val="14284B"/>
                <w:sz w:val="14"/>
                <w:szCs w:val="14"/>
              </w:rPr>
              <w:t xml:space="preserve">10-year sovereign yields, 2022–2026 (%)</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a 24-year high; the Bund went from −0.1% to 3.6%. Fiscal deficits push up the risk-free rate, and Chile has followed the move since mid-2026.</w:t>
            </w:r>
          </w:p>
          <w:p>
            <w:pPr>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r>
        <w:br w:type="page"/>
      </w:r>
    </w:p>
    <w:p>
      <w:pPr>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A4: </w:t>
            </w:r>
            <w:r>
              <w:rPr>
                <w:rFonts w:ascii="Arial" w:cs="Arial" w:eastAsia="Arial" w:hAnsi="Arial"/>
                <w:color w:val="14284B"/>
                <w:sz w:val="14"/>
                <w:szCs w:val="14"/>
              </w:rPr>
              <w:t xml:space="preserve">10-year spreads: France–Germany and Chile–US (bp)</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spacing w:after="0" w:before="10" w:line="216" w:lineRule="auto"/>
            </w:pPr>
            <w:r>
              <w:rPr>
                <w:rFonts w:ascii="Arial" w:cs="Arial" w:eastAsia="Arial" w:hAnsi="Arial"/>
                <w:color w:val="5F5F5F"/>
                <w:sz w:val="11"/>
                <w:szCs w:val="11"/>
              </w:rPr>
              <w:t xml:space="preserve">Source: Team calculation with Figure A3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A5: </w:t>
            </w:r>
            <w:r>
              <w:rPr>
                <w:rFonts w:ascii="Arial" w:cs="Arial" w:eastAsia="Arial" w:hAnsi="Arial"/>
                <w:color w:val="14284B"/>
                <w:sz w:val="14"/>
                <w:szCs w:val="14"/>
              </w:rPr>
              <w:t xml:space="preserve">World growth and inflation, 2022–2026P (%)</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A6: </w:t>
            </w:r>
            <w:r>
              <w:rPr>
                <w:rFonts w:ascii="Arial" w:cs="Arial" w:eastAsia="Arial" w:hAnsi="Arial"/>
                <w:color w:val="14284B"/>
                <w:sz w:val="14"/>
                <w:szCs w:val="14"/>
              </w:rPr>
              <w:t xml:space="preserve">Chile: GDP, inflation and policy rate, 2022–2026P (%)</w:t>
            </w:r>
          </w:p>
          <w:p>
            <w:pPr>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14700" cy="20097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60"/>
            </w:pPr>
          </w:p>
          <w:p>
            <w:pPr>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CPI rises to 3.9%, above the 3% target, and the policy rate stays at 4.5%: there is no room to support consumption, the driver of tenant sales (MR1).</w:t>
            </w:r>
          </w:p>
          <w:p>
            <w:pPr>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UF +3% = −CLP 38,691 MM of earnings (Fig. 26)</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Rf 4.98%; WACC +100 bp = target price −12.3% (Fig. 25)</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Chile 2026 GDP: 0.25–0.75%;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Tornado: traffic −1.3% / +2.4% of value (Fig. 24)</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1.41% weighted CRP in Ke; debt in local currency and hedging derivatives (MD&amp;A 2Q26)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 · MR3</w:t>
            </w:r>
          </w:p>
        </w:tc>
      </w:tr>
    </w:tbl>
    <w:p>
      <w:pPr>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 WACC +50 bp: target price from CLP 2,076 to ~1,940 (Fig. 25)</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3.9% (Jun-26 MPR)</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Lower footfall and sales; pressure on occupancy (Fig. 24)</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10.41% terminal nominal WACC (10.54% in 2H26E); with the 10Y UST above 5.2% in October, the bias on the discount rate is upward, which reinforces the recommendation.</w:t>
      </w:r>
    </w:p>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5"/>
        <w:szCs w:val="15"/>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a01b45d6be15873163d7f4df2b5d1388d71092.png"/><Relationship Id="rId10" Type="http://schemas.openxmlformats.org/officeDocument/2006/relationships/image" Target="media/74b785ab5dc6ff2d7a2669dbff7ca479845d79c7.png"/><Relationship Id="rId11" Type="http://schemas.openxmlformats.org/officeDocument/2006/relationships/image" Target="media/cad639ca5e0bdcd7eee0898b91cc8274ca418bf7.png"/><Relationship Id="rId12" Type="http://schemas.openxmlformats.org/officeDocument/2006/relationships/image" Target="media/b75d7c57b9f5e0f71be8fa7975bc23b67c6f4a4a.png"/><Relationship Id="rId13" Type="http://schemas.openxmlformats.org/officeDocument/2006/relationships/image" Target="media/7640993cad1d25805eb3ec4b6d40d373df297a1b.png"/><Relationship Id="rId14" Type="http://schemas.openxmlformats.org/officeDocument/2006/relationships/image" Target="media/097d9e68442f8586148a911de890f9b42b249cf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2026-10-14T17:54:58.004Z</dcterms:created>
  <dcterms:modified xsi:type="dcterms:W3CDTF">2026-10-14T17:54:58.004Z</dcterms:modified>
</cp:coreProperties>
</file>

<file path=docProps/custom.xml><?xml version="1.0" encoding="utf-8"?>
<Properties xmlns="http://schemas.openxmlformats.org/officeDocument/2006/custom-properties" xmlns:vt="http://schemas.openxmlformats.org/officeDocument/2006/docPropsVTypes"/>
</file>