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DESCRIPCIÓN DEL NEGOCIO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 UN MALL EN LA FLORIDA A 37 CENTROS URBANOS EN LA REGIÓN ANDINA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Mallplaza nació en 1990 con Mallplaza Vespucio, construido desde cero en La Florida, y 35 años después es uno de los principales actores del retail real estate de la Región Andina, con 37 centros urbanos y 2,36 millones de m² de GLA en Chile, Perú y Colombia (Figura 1). Llegó a Perú en 2007 con Mallplaza Trujillo, abrió su capital en la Bolsa de Santiago en 2018 y hoy su controlador es Falabella S.A., con 53,1% de la propiedad a diciembre de 2025. Su negocio, sin embargo, sigue siendo el mismo que en su origen, arrendar m². El arriendo explica 81,4% de los ingresos de los últimos doce meses (UDM) y el resto proviene de estacionamientos, servicios comerciales y publicidad. Como el 93% de ese arriendo es fijo y en Chile se reajusta en UF, los ingresos son muy predecibles, y la empresa además logra hacerlos crecer en términos reales. En Chile el arriendo de mismos contratos (SSR) aumentó 6,5% UDM frente a un IPC de 4,3%, sin que sus locatarios lo resientan, pues el arriendo equivale a apenas 9,9% de sus ventas (costo de ocupación), casi lo mismo que un año antes (9,7%). Tampoco se trata de un buen año aislado, ya que entre 1T23 y 2T26 el SSR de Chile promedió 6,9% contra una inflación de 4,8%.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UN MIX DE LOCATARIOS QUE SE REINVENTA Y MÁRGENES ALTOS POR DISEÑO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Ese poder de precio descansa en un mix de locatarios que la empresa ha sabido reinventar. Las tiendas por departamento, que en 2020 ocupaban 26,7% del GLA, bajaron a 19,0% en 2T26, luego de que Mallplaza reconvirtiera desde 2019 cerca de 146.000 m² de grandes tiendas hacia marcas como IKEA, H&amp;M y Decathlon (Anexo B). Hoy el 32,2% del GLA se destina a comercio esencial y servicios de tráfico diario, como supermercados, mejoramiento del hogar, servicios públicos y salud, que generan visitas de alta frecuencia, y otro 21,5% a retail de especialidad. Ningún cliente domina los ingresos, ya que los cinco mayores locatarios suman 18% y las empresas relacionadas, 15,7%. A esto se suma una estructura de costos liviana, con un costo de ventas de 6,2% de los ingresos y gastos de administración de 13,9%, lo que deja un margen EBITDA de 80,5% UDM.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VALOR SE CONCENTRA EN 10 ACTIVOS TIER 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6"/>
                <w:szCs w:val="16"/>
              </w:rPr>
              <w:t xml:space="preserve">La historia de crecimiento se escribe en sus mejores activos. Diez centros, siete en Chile, dos en Colombia y uno en Perú, son Tier A, y con 46,4% del GLA generan más del 60% del EBITDA (Anexo A). Hacia ellos apunta la inversión, pues las ampliaciones en construcción de Trébol, Oeste, Norte, Trujillo y La Serena buscan llevar los activos Tier A a más del 70% del GLA.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GLA por país (2T26) e ingresos por fuente (UDM a jun-2026)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3105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Release de Resultados 2Q26 (p.19) y Presentación Institucional 2Q26 (p.16).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ba9315e797149d5131110a457c52ed8e3f1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2026-10-14T17:58:22.997Z</dcterms:created>
  <dcterms:modified xsi:type="dcterms:W3CDTF">2026-10-14T17:58:22.997Z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