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6306" w14:textId="77777777" w:rsidR="00F678E5" w:rsidRDefault="0078221D">
      <w:pPr>
        <w:pBdr>
          <w:bottom w:val="single" w:sz="18" w:space="2" w:color="1F2D4F"/>
        </w:pBdr>
        <w:spacing w:before="60" w:after="120"/>
      </w:pPr>
      <w:r>
        <w:rPr>
          <w:b/>
          <w:bCs/>
          <w:color w:val="1F2D4F"/>
          <w:sz w:val="30"/>
          <w:szCs w:val="30"/>
        </w:rPr>
        <w:t>DESCRIPCIÓN DEL NEGOCIO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0"/>
        <w:gridCol w:w="280"/>
        <w:gridCol w:w="3736"/>
      </w:tblGrid>
      <w:tr w:rsidR="00F678E5" w14:paraId="49CC6311" w14:textId="77777777">
        <w:tc>
          <w:tcPr>
            <w:tcW w:w="6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C6307" w14:textId="77777777" w:rsidR="00F678E5" w:rsidRDefault="0078221D">
            <w:pPr>
              <w:pBdr>
                <w:bottom w:val="single" w:sz="8" w:space="1" w:color="C2185B"/>
              </w:pBdr>
              <w:spacing w:before="80" w:after="50"/>
            </w:pPr>
            <w:r>
              <w:rPr>
                <w:b/>
                <w:bCs/>
                <w:color w:val="1F2D4F"/>
                <w:sz w:val="17"/>
                <w:szCs w:val="17"/>
              </w:rPr>
              <w:t>DE UN MALL EN LA FLORIDA A 37 CENTROS URBANOS EN LA REGIÓN ANDINA</w:t>
            </w:r>
          </w:p>
          <w:p w14:paraId="49CC6308" w14:textId="08896B9B" w:rsidR="00F678E5" w:rsidRPr="00A138F3" w:rsidRDefault="0078221D">
            <w:pPr>
              <w:spacing w:after="60"/>
              <w:jc w:val="both"/>
              <w:rPr>
                <w:sz w:val="16"/>
                <w:szCs w:val="16"/>
              </w:rPr>
            </w:pPr>
            <w:proofErr w:type="spellStart"/>
            <w:r w:rsidRPr="00A138F3">
              <w:rPr>
                <w:sz w:val="16"/>
                <w:szCs w:val="16"/>
              </w:rPr>
              <w:t>Mallplaza</w:t>
            </w:r>
            <w:proofErr w:type="spellEnd"/>
            <w:r w:rsidRPr="00A138F3">
              <w:rPr>
                <w:sz w:val="16"/>
                <w:szCs w:val="16"/>
              </w:rPr>
              <w:t xml:space="preserve"> nació en 1990 con </w:t>
            </w:r>
            <w:proofErr w:type="spellStart"/>
            <w:r w:rsidRPr="00A138F3">
              <w:rPr>
                <w:sz w:val="16"/>
                <w:szCs w:val="16"/>
              </w:rPr>
              <w:t>Mallplaza</w:t>
            </w:r>
            <w:proofErr w:type="spellEnd"/>
            <w:r w:rsidRPr="00A138F3">
              <w:rPr>
                <w:sz w:val="16"/>
                <w:szCs w:val="16"/>
              </w:rPr>
              <w:t xml:space="preserve"> Vespucio, construido desde cero en La Florida, y 35 años después</w:t>
            </w:r>
            <w:r w:rsidR="00E80503" w:rsidRPr="00A138F3">
              <w:rPr>
                <w:sz w:val="16"/>
                <w:szCs w:val="16"/>
              </w:rPr>
              <w:t xml:space="preserve"> es uno de los principales </w:t>
            </w:r>
            <w:r w:rsidR="00C215AA" w:rsidRPr="00A138F3">
              <w:rPr>
                <w:sz w:val="16"/>
                <w:szCs w:val="16"/>
              </w:rPr>
              <w:t xml:space="preserve">actores del </w:t>
            </w:r>
            <w:proofErr w:type="spellStart"/>
            <w:r w:rsidR="00C215AA" w:rsidRPr="00A138F3">
              <w:rPr>
                <w:sz w:val="16"/>
                <w:szCs w:val="16"/>
              </w:rPr>
              <w:t>retail</w:t>
            </w:r>
            <w:proofErr w:type="spellEnd"/>
            <w:r w:rsidR="00C215AA" w:rsidRPr="00A138F3">
              <w:rPr>
                <w:sz w:val="16"/>
                <w:szCs w:val="16"/>
              </w:rPr>
              <w:t xml:space="preserve"> real estate de la </w:t>
            </w:r>
            <w:r w:rsidR="00136D80" w:rsidRPr="00A138F3">
              <w:rPr>
                <w:sz w:val="16"/>
                <w:szCs w:val="16"/>
              </w:rPr>
              <w:t>R</w:t>
            </w:r>
            <w:r w:rsidR="00C215AA" w:rsidRPr="00A138F3">
              <w:rPr>
                <w:sz w:val="16"/>
                <w:szCs w:val="16"/>
              </w:rPr>
              <w:t>egión Andina</w:t>
            </w:r>
            <w:r w:rsidR="00136D80" w:rsidRPr="00A138F3">
              <w:rPr>
                <w:sz w:val="16"/>
                <w:szCs w:val="16"/>
              </w:rPr>
              <w:t>, con</w:t>
            </w:r>
            <w:r w:rsidRPr="00A138F3">
              <w:rPr>
                <w:sz w:val="16"/>
                <w:szCs w:val="16"/>
              </w:rPr>
              <w:t xml:space="preserve"> 37 centros urbanos </w:t>
            </w:r>
            <w:r w:rsidR="00A75A40" w:rsidRPr="00A138F3">
              <w:rPr>
                <w:sz w:val="16"/>
                <w:szCs w:val="16"/>
              </w:rPr>
              <w:t>y</w:t>
            </w:r>
            <w:r w:rsidRPr="00A138F3">
              <w:rPr>
                <w:sz w:val="16"/>
                <w:szCs w:val="16"/>
              </w:rPr>
              <w:t xml:space="preserve"> 2,36 millones de m² de GLA en Chile, Perú y Colombia (Figura 1). Llegó a Perú en 2007 con </w:t>
            </w:r>
            <w:proofErr w:type="spellStart"/>
            <w:r w:rsidRPr="00A138F3">
              <w:rPr>
                <w:sz w:val="16"/>
                <w:szCs w:val="16"/>
              </w:rPr>
              <w:t>Mallplaza</w:t>
            </w:r>
            <w:proofErr w:type="spellEnd"/>
            <w:r w:rsidRPr="00A138F3">
              <w:rPr>
                <w:sz w:val="16"/>
                <w:szCs w:val="16"/>
              </w:rPr>
              <w:t xml:space="preserve"> Trujillo, abrió su capital en la Bolsa de Santiago en 2018 y hoy su controlador es Falabella S.A., con 53,1% de la propiedad a diciembre de 2025. Su negocio, sin embargo, sigue siendo el mismo que en su origen, arrendar m². El arriendo explica 81,4% de los ingresos de los últimos doce meses (UDM) y el resto proviene de estacionamientos, servicios comerciales y publicidad. Como el 93% de ese arriendo es fijo y en Chile se reajusta en UF, los ingresos son muy predecibles, y la empresa además logra hacerlos crecer en términos reales. En Chile el arriendo de mismos contratos (SSR) aumentó 6,5% UDM frente a un IPC de 4,3%, sin que sus locatarios lo resientan, pues el arriendo equivale a apenas 9,9% de sus ventas (costo de ocupación), casi lo mismo que un año antes (9,7%). Tampoco se trata de un buen año aislado, ya que entre 1T23 y 2T26 el SSR de Chile promedió 6,9% contra una inflación de 4,8%.</w:t>
            </w:r>
          </w:p>
          <w:p w14:paraId="49CC6309" w14:textId="77777777" w:rsidR="00F678E5" w:rsidRDefault="0078221D">
            <w:pPr>
              <w:pBdr>
                <w:bottom w:val="single" w:sz="8" w:space="1" w:color="C2185B"/>
              </w:pBdr>
              <w:spacing w:before="80" w:after="50"/>
            </w:pPr>
            <w:r>
              <w:rPr>
                <w:b/>
                <w:bCs/>
                <w:color w:val="1F2D4F"/>
                <w:sz w:val="17"/>
                <w:szCs w:val="17"/>
              </w:rPr>
              <w:t>UN MIX DE LOCATARIOS QUE SE REINVENTA Y MÁRGENES ALTOS POR DISEÑO</w:t>
            </w:r>
          </w:p>
          <w:p w14:paraId="49CC630A" w14:textId="77777777" w:rsidR="00F678E5" w:rsidRPr="00A138F3" w:rsidRDefault="0078221D">
            <w:pPr>
              <w:spacing w:after="60"/>
              <w:jc w:val="both"/>
              <w:rPr>
                <w:sz w:val="16"/>
                <w:szCs w:val="16"/>
              </w:rPr>
            </w:pPr>
            <w:r w:rsidRPr="00A138F3">
              <w:rPr>
                <w:sz w:val="16"/>
                <w:szCs w:val="16"/>
              </w:rPr>
              <w:t xml:space="preserve">Ese poder de precio descansa en un mix de locatarios que la empresa ha sabido reinventar. Las tiendas por departamento, que en 2020 ocupaban 26,7% del GLA, bajaron a 19,0% en 2T26, luego de que </w:t>
            </w:r>
            <w:proofErr w:type="spellStart"/>
            <w:r w:rsidRPr="00A138F3">
              <w:rPr>
                <w:sz w:val="16"/>
                <w:szCs w:val="16"/>
              </w:rPr>
              <w:t>Mallplaza</w:t>
            </w:r>
            <w:proofErr w:type="spellEnd"/>
            <w:r w:rsidRPr="00A138F3">
              <w:rPr>
                <w:sz w:val="16"/>
                <w:szCs w:val="16"/>
              </w:rPr>
              <w:t xml:space="preserve"> reconvirtiera desde 2019 cerca de 146.000 m² de grandes tiendas hacia marcas como IKEA, H&amp;M y Decathlon (Anexo B). Hoy el 32,2% del GLA se destina a comercio esencial y servicios de tráfico diario, como supermercados, mejoramiento del hogar, servicios públicos y salud, que generan visitas de alta frecuencia, y otro 21,5% a </w:t>
            </w:r>
            <w:proofErr w:type="spellStart"/>
            <w:r w:rsidRPr="00A138F3">
              <w:rPr>
                <w:sz w:val="16"/>
                <w:szCs w:val="16"/>
              </w:rPr>
              <w:t>retail</w:t>
            </w:r>
            <w:proofErr w:type="spellEnd"/>
            <w:r w:rsidRPr="00A138F3">
              <w:rPr>
                <w:sz w:val="16"/>
                <w:szCs w:val="16"/>
              </w:rPr>
              <w:t xml:space="preserve"> de especialidad. Ningún cliente domina los ingresos, ya que los cinco mayores locatarios suman 18% y las empresas relacionadas, 15,7%. A esto se suma una estructura de costos liviana, con un costo de ventas de 6,2% de los ingresos y gastos de administración de 13,9%, lo que deja un margen EBITDA de 80,5% UDM.</w:t>
            </w:r>
          </w:p>
          <w:p w14:paraId="49CC630B" w14:textId="77777777" w:rsidR="00F678E5" w:rsidRDefault="0078221D">
            <w:pPr>
              <w:pBdr>
                <w:bottom w:val="single" w:sz="8" w:space="1" w:color="C2185B"/>
              </w:pBdr>
              <w:spacing w:before="80" w:after="50"/>
            </w:pPr>
            <w:r>
              <w:rPr>
                <w:b/>
                <w:bCs/>
                <w:color w:val="1F2D4F"/>
                <w:sz w:val="17"/>
                <w:szCs w:val="17"/>
              </w:rPr>
              <w:t>EL VALOR SE CONCENTRA EN 10 ACTIVOS TIER A</w:t>
            </w:r>
          </w:p>
          <w:p w14:paraId="49CC630C" w14:textId="77777777" w:rsidR="00F678E5" w:rsidRDefault="0078221D">
            <w:pPr>
              <w:spacing w:after="60"/>
              <w:jc w:val="both"/>
            </w:pPr>
            <w:r w:rsidRPr="00A138F3">
              <w:rPr>
                <w:sz w:val="16"/>
                <w:szCs w:val="16"/>
              </w:rPr>
              <w:t xml:space="preserve">La historia de crecimiento se escribe en sus mejores activos. Diez centros, siete en Chile, dos en Colombia y uno en Perú, son Tier A, y con 46,4% del GLA generan más del 60% del EBITDA (Anexo A). Hacia ellos apunta la inversión, pues las ampliaciones en construcción de Trébol, Oeste, Norte, Trujillo y La Serena buscan llevar los activos </w:t>
            </w:r>
            <w:proofErr w:type="spellStart"/>
            <w:r w:rsidRPr="00A138F3">
              <w:rPr>
                <w:sz w:val="16"/>
                <w:szCs w:val="16"/>
              </w:rPr>
              <w:t>Tier</w:t>
            </w:r>
            <w:proofErr w:type="spellEnd"/>
            <w:r w:rsidRPr="00A138F3">
              <w:rPr>
                <w:sz w:val="16"/>
                <w:szCs w:val="16"/>
              </w:rPr>
              <w:t xml:space="preserve"> A </w:t>
            </w:r>
            <w:proofErr w:type="spellStart"/>
            <w:r w:rsidRPr="00A138F3">
              <w:rPr>
                <w:sz w:val="16"/>
                <w:szCs w:val="16"/>
              </w:rPr>
              <w:t>a</w:t>
            </w:r>
            <w:proofErr w:type="spellEnd"/>
            <w:r w:rsidRPr="00A138F3">
              <w:rPr>
                <w:sz w:val="16"/>
                <w:szCs w:val="16"/>
              </w:rPr>
              <w:t xml:space="preserve"> más del 70% del GLA</w:t>
            </w:r>
            <w:r>
              <w:t>.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C630D" w14:textId="77777777" w:rsidR="00F678E5" w:rsidRDefault="00F678E5"/>
        </w:tc>
        <w:tc>
          <w:tcPr>
            <w:tcW w:w="37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C630E" w14:textId="77777777" w:rsidR="00F678E5" w:rsidRDefault="0078221D">
            <w:pPr>
              <w:spacing w:after="40"/>
            </w:pPr>
            <w:r>
              <w:rPr>
                <w:b/>
                <w:bCs/>
                <w:sz w:val="15"/>
                <w:szCs w:val="15"/>
              </w:rPr>
              <w:t xml:space="preserve">Figura 1: </w:t>
            </w:r>
            <w:r>
              <w:rPr>
                <w:sz w:val="15"/>
                <w:szCs w:val="15"/>
              </w:rPr>
              <w:t>GLA por país (2T26) e ingresos por fuente (UDM a jun-2026)</w:t>
            </w:r>
          </w:p>
          <w:p w14:paraId="49CC630F" w14:textId="7BA5A4DA" w:rsidR="00F678E5" w:rsidRDefault="00A138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CA45C4" wp14:editId="7F5307E9">
                  <wp:extent cx="1780144" cy="2933296"/>
                  <wp:effectExtent l="0" t="0" r="0" b="635"/>
                  <wp:docPr id="7567477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294" cy="29417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CC6310" w14:textId="77777777" w:rsidR="00F678E5" w:rsidRDefault="0078221D">
            <w:pPr>
              <w:spacing w:before="30"/>
            </w:pPr>
            <w:r>
              <w:rPr>
                <w:color w:val="6B6B6B"/>
                <w:sz w:val="13"/>
                <w:szCs w:val="13"/>
              </w:rPr>
              <w:t xml:space="preserve">Fuente: </w:t>
            </w:r>
            <w:r>
              <w:rPr>
                <w:i/>
                <w:iCs/>
                <w:color w:val="6B6B6B"/>
                <w:sz w:val="13"/>
                <w:szCs w:val="13"/>
              </w:rPr>
              <w:t xml:space="preserve">Plaza S.A., </w:t>
            </w:r>
            <w:proofErr w:type="spellStart"/>
            <w:r>
              <w:rPr>
                <w:i/>
                <w:iCs/>
                <w:color w:val="6B6B6B"/>
                <w:sz w:val="13"/>
                <w:szCs w:val="13"/>
              </w:rPr>
              <w:t>Release</w:t>
            </w:r>
            <w:proofErr w:type="spellEnd"/>
            <w:r>
              <w:rPr>
                <w:i/>
                <w:iCs/>
                <w:color w:val="6B6B6B"/>
                <w:sz w:val="13"/>
                <w:szCs w:val="13"/>
              </w:rPr>
              <w:t xml:space="preserve"> de Resultados 2Q26 (p.19) y Presentación Institucional 2Q26 (p.16).</w:t>
            </w:r>
          </w:p>
        </w:tc>
      </w:tr>
    </w:tbl>
    <w:p w14:paraId="49CC6312" w14:textId="77777777" w:rsidR="00F678E5" w:rsidRDefault="00F678E5">
      <w:pPr>
        <w:pageBreakBefore/>
      </w:pPr>
    </w:p>
    <w:p w14:paraId="49CC6313" w14:textId="77777777" w:rsidR="00F678E5" w:rsidRDefault="0078221D">
      <w:pPr>
        <w:pBdr>
          <w:bottom w:val="single" w:sz="18" w:space="2" w:color="1F2D4F"/>
        </w:pBdr>
        <w:spacing w:before="60" w:after="120"/>
      </w:pPr>
      <w:r>
        <w:rPr>
          <w:b/>
          <w:bCs/>
          <w:color w:val="1F2D4F"/>
          <w:sz w:val="30"/>
          <w:szCs w:val="30"/>
        </w:rPr>
        <w:t>ANEXOS: DESCRIPCIÓN DEL NEGOCIO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3"/>
        <w:gridCol w:w="280"/>
        <w:gridCol w:w="5193"/>
      </w:tblGrid>
      <w:tr w:rsidR="00F678E5" w14:paraId="49CC631B" w14:textId="77777777">
        <w:tc>
          <w:tcPr>
            <w:tcW w:w="51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C6314" w14:textId="77777777" w:rsidR="00F678E5" w:rsidRDefault="0078221D">
            <w:pPr>
              <w:spacing w:before="120" w:after="40"/>
            </w:pPr>
            <w:r>
              <w:rPr>
                <w:b/>
                <w:bCs/>
                <w:sz w:val="15"/>
                <w:szCs w:val="15"/>
              </w:rPr>
              <w:t xml:space="preserve">Anexo A: </w:t>
            </w:r>
            <w:r>
              <w:rPr>
                <w:sz w:val="15"/>
                <w:szCs w:val="15"/>
              </w:rPr>
              <w:t>Activos Tier A por GLA, 2T26 (miles de m²)</w:t>
            </w:r>
          </w:p>
          <w:p w14:paraId="49CC6315" w14:textId="6E925DB8" w:rsidR="00F678E5" w:rsidRDefault="00295D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E22B8A" wp14:editId="11B60823">
                  <wp:extent cx="2324100" cy="2932233"/>
                  <wp:effectExtent l="0" t="0" r="0" b="1905"/>
                  <wp:docPr id="157648540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44" cy="29442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CC6316" w14:textId="77777777" w:rsidR="00F678E5" w:rsidRDefault="0078221D">
            <w:pPr>
              <w:spacing w:before="30" w:after="80"/>
            </w:pPr>
            <w:r>
              <w:rPr>
                <w:color w:val="6B6B6B"/>
                <w:sz w:val="13"/>
                <w:szCs w:val="13"/>
              </w:rPr>
              <w:t xml:space="preserve">Fuente: </w:t>
            </w:r>
            <w:r>
              <w:rPr>
                <w:i/>
                <w:iCs/>
                <w:color w:val="6B6B6B"/>
                <w:sz w:val="13"/>
                <w:szCs w:val="13"/>
              </w:rPr>
              <w:t>Plaza S.A., Presentación Institucional 2Q26 (p.12). Tier A = 46,4% del GLA total.</w:t>
            </w:r>
          </w:p>
        </w:tc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C6317" w14:textId="77777777" w:rsidR="00F678E5" w:rsidRDefault="00F678E5"/>
        </w:tc>
        <w:tc>
          <w:tcPr>
            <w:tcW w:w="51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C6318" w14:textId="77777777" w:rsidR="00F678E5" w:rsidRDefault="0078221D">
            <w:pPr>
              <w:spacing w:before="120" w:after="40"/>
            </w:pPr>
            <w:r>
              <w:rPr>
                <w:b/>
                <w:bCs/>
                <w:sz w:val="15"/>
                <w:szCs w:val="15"/>
              </w:rPr>
              <w:t xml:space="preserve">Anexo B: </w:t>
            </w:r>
            <w:r>
              <w:rPr>
                <w:sz w:val="15"/>
                <w:szCs w:val="15"/>
              </w:rPr>
              <w:t>Tiendas por departamento, % del GLA total</w:t>
            </w:r>
          </w:p>
          <w:p w14:paraId="49CC6319" w14:textId="42B2DCBC" w:rsidR="00F678E5" w:rsidRDefault="00B65B3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554CB2" wp14:editId="154F60DB">
                  <wp:extent cx="2476500" cy="2320777"/>
                  <wp:effectExtent l="0" t="0" r="0" b="3810"/>
                  <wp:docPr id="2663012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3471" cy="23273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CC631A" w14:textId="77777777" w:rsidR="00F678E5" w:rsidRDefault="0078221D">
            <w:pPr>
              <w:spacing w:before="30" w:after="80"/>
            </w:pPr>
            <w:r>
              <w:rPr>
                <w:color w:val="6B6B6B"/>
                <w:sz w:val="13"/>
                <w:szCs w:val="13"/>
              </w:rPr>
              <w:t xml:space="preserve">Fuente: </w:t>
            </w:r>
            <w:r>
              <w:rPr>
                <w:i/>
                <w:iCs/>
                <w:color w:val="6B6B6B"/>
                <w:sz w:val="13"/>
                <w:szCs w:val="13"/>
              </w:rPr>
              <w:t>Plaza S.A., Presentación Institucional 2Q26 (p.17).</w:t>
            </w:r>
          </w:p>
        </w:tc>
      </w:tr>
    </w:tbl>
    <w:p w14:paraId="49CC631C" w14:textId="77777777" w:rsidR="00801F53" w:rsidRDefault="00801F53"/>
    <w:sectPr w:rsidR="00801F53">
      <w:headerReference w:type="default" r:id="rId10"/>
      <w:footerReference w:type="default" r:id="rId11"/>
      <w:pgSz w:w="11906" w:h="16838"/>
      <w:pgMar w:top="1000" w:right="620" w:bottom="900" w:left="62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F3D9B" w14:textId="77777777" w:rsidR="0078221D" w:rsidRDefault="0078221D">
      <w:r>
        <w:separator/>
      </w:r>
    </w:p>
  </w:endnote>
  <w:endnote w:type="continuationSeparator" w:id="0">
    <w:p w14:paraId="3EA26B2F" w14:textId="77777777" w:rsidR="0078221D" w:rsidRDefault="00782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6323" w14:textId="731EADB8" w:rsidR="00F678E5" w:rsidRDefault="0078221D">
    <w:pPr>
      <w:jc w:val="center"/>
    </w:pPr>
    <w:r>
      <w:rPr>
        <w:color w:val="555555"/>
        <w:sz w:val="15"/>
        <w:szCs w:val="15"/>
      </w:rPr>
      <w:t>A-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E80503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6585D" w14:textId="77777777" w:rsidR="0078221D" w:rsidRDefault="0078221D">
      <w:r>
        <w:separator/>
      </w:r>
    </w:p>
  </w:footnote>
  <w:footnote w:type="continuationSeparator" w:id="0">
    <w:p w14:paraId="18321998" w14:textId="77777777" w:rsidR="0078221D" w:rsidRDefault="00782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6322" w14:textId="77777777" w:rsidR="00F678E5" w:rsidRDefault="0078221D">
    <w:pPr>
      <w:pBdr>
        <w:bottom w:val="single" w:sz="4" w:space="4" w:color="D9D9D9"/>
      </w:pBdr>
      <w:jc w:val="right"/>
    </w:pPr>
    <w:r>
      <w:rPr>
        <w:color w:val="555555"/>
        <w:sz w:val="15"/>
        <w:szCs w:val="15"/>
      </w:rPr>
      <w:t xml:space="preserve">Mallplaza (Plaza S.A.)  </w:t>
    </w:r>
    <w:r>
      <w:rPr>
        <w:color w:val="555555"/>
        <w:sz w:val="15"/>
        <w:szCs w:val="15"/>
      </w:rPr>
      <w:t>|  CFA Institute Research Challenge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3027"/>
    <w:multiLevelType w:val="hybridMultilevel"/>
    <w:tmpl w:val="4C2A7418"/>
    <w:lvl w:ilvl="0" w:tplc="187807B0">
      <w:start w:val="1"/>
      <w:numFmt w:val="bullet"/>
      <w:lvlText w:val="●"/>
      <w:lvlJc w:val="left"/>
      <w:pPr>
        <w:ind w:left="720" w:hanging="360"/>
      </w:pPr>
    </w:lvl>
    <w:lvl w:ilvl="1" w:tplc="29FE6056">
      <w:start w:val="1"/>
      <w:numFmt w:val="bullet"/>
      <w:lvlText w:val="○"/>
      <w:lvlJc w:val="left"/>
      <w:pPr>
        <w:ind w:left="1440" w:hanging="360"/>
      </w:pPr>
    </w:lvl>
    <w:lvl w:ilvl="2" w:tplc="40C06A96">
      <w:start w:val="1"/>
      <w:numFmt w:val="bullet"/>
      <w:lvlText w:val="■"/>
      <w:lvlJc w:val="left"/>
      <w:pPr>
        <w:ind w:left="2160" w:hanging="360"/>
      </w:pPr>
    </w:lvl>
    <w:lvl w:ilvl="3" w:tplc="8FBE144E">
      <w:start w:val="1"/>
      <w:numFmt w:val="bullet"/>
      <w:lvlText w:val="●"/>
      <w:lvlJc w:val="left"/>
      <w:pPr>
        <w:ind w:left="2880" w:hanging="360"/>
      </w:pPr>
    </w:lvl>
    <w:lvl w:ilvl="4" w:tplc="7750C18A">
      <w:start w:val="1"/>
      <w:numFmt w:val="bullet"/>
      <w:lvlText w:val="○"/>
      <w:lvlJc w:val="left"/>
      <w:pPr>
        <w:ind w:left="3600" w:hanging="360"/>
      </w:pPr>
    </w:lvl>
    <w:lvl w:ilvl="5" w:tplc="832244DC">
      <w:start w:val="1"/>
      <w:numFmt w:val="bullet"/>
      <w:lvlText w:val="■"/>
      <w:lvlJc w:val="left"/>
      <w:pPr>
        <w:ind w:left="4320" w:hanging="360"/>
      </w:pPr>
    </w:lvl>
    <w:lvl w:ilvl="6" w:tplc="22A8DE0C">
      <w:start w:val="1"/>
      <w:numFmt w:val="bullet"/>
      <w:lvlText w:val="●"/>
      <w:lvlJc w:val="left"/>
      <w:pPr>
        <w:ind w:left="5040" w:hanging="360"/>
      </w:pPr>
    </w:lvl>
    <w:lvl w:ilvl="7" w:tplc="F258ACB4">
      <w:start w:val="1"/>
      <w:numFmt w:val="bullet"/>
      <w:lvlText w:val="●"/>
      <w:lvlJc w:val="left"/>
      <w:pPr>
        <w:ind w:left="5760" w:hanging="360"/>
      </w:pPr>
    </w:lvl>
    <w:lvl w:ilvl="8" w:tplc="E836120E">
      <w:start w:val="1"/>
      <w:numFmt w:val="bullet"/>
      <w:lvlText w:val="●"/>
      <w:lvlJc w:val="left"/>
      <w:pPr>
        <w:ind w:left="6480" w:hanging="360"/>
      </w:pPr>
    </w:lvl>
  </w:abstractNum>
  <w:num w:numId="1" w16cid:durableId="1134063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8E5"/>
    <w:rsid w:val="000275FE"/>
    <w:rsid w:val="00136D80"/>
    <w:rsid w:val="001A5410"/>
    <w:rsid w:val="00295DC0"/>
    <w:rsid w:val="006800CC"/>
    <w:rsid w:val="0078221D"/>
    <w:rsid w:val="00801F53"/>
    <w:rsid w:val="00A138F3"/>
    <w:rsid w:val="00A75A40"/>
    <w:rsid w:val="00B65B3A"/>
    <w:rsid w:val="00C215AA"/>
    <w:rsid w:val="00E80503"/>
    <w:rsid w:val="00EC59BB"/>
    <w:rsid w:val="00F6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6306"/>
  <w15:docId w15:val="{539F58A8-E83A-49EB-A444-0A2D31E8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Vidal Rios</cp:lastModifiedBy>
  <cp:revision>2</cp:revision>
  <dcterms:created xsi:type="dcterms:W3CDTF">2026-10-14T17:36:00Z</dcterms:created>
  <dcterms:modified xsi:type="dcterms:W3CDTF">2026-10-14T17:36:00Z</dcterms:modified>
</cp:coreProperties>
</file>