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INVESTMENT RISKS</w:t>
      </w:r>
    </w:p>
    <w:p>
      <w:pPr>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market variables. The main risk, with high likelihood, is a rise in long-term rates, which pushes up bond yields and the WACC. Not even the favourable scenarios justify the market price at the report date.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RISK ASSESSMENT</w:t>
            </w:r>
          </w:p>
          <w:p>
            <w:pPr>
              <w:spacing w:after="40" w:before="0" w:line="228" w:lineRule="auto"/>
              <w:jc w:val="both"/>
            </w:pPr>
            <w:r>
              <w:rPr>
                <w:rFonts w:ascii="Arial" w:cs="Arial" w:eastAsia="Arial" w:hAnsi="Arial"/>
                <w:color w:val="1A1A1A"/>
                <w:sz w:val="16"/>
                <w:szCs w:val="16"/>
              </w:rPr>
              <w:t xml:space="preserve">Figure 23 classifies each risk by likelihood and by its impact on value per share (Figures 24 to 26). Risks that could not be quantified are classified according to the team's qualitative analysis of the company.</w:t>
            </w:r>
          </w:p>
          <w:p>
            <w:pPr>
              <w:pBdr>
                <w:bottom w:val="single" w:color="E9004B" w:sz="8" w:space="1"/>
              </w:pBdr>
              <w:spacing w:after="50" w:before="110"/>
            </w:pPr>
            <w:r>
              <w:rPr>
                <w:rFonts w:ascii="Arial" w:cs="Arial" w:eastAsia="Arial" w:hAnsi="Arial"/>
                <w:b/>
                <w:bCs/>
                <w:color w:val="14284B"/>
                <w:sz w:val="16"/>
                <w:szCs w:val="16"/>
              </w:rPr>
              <w:t xml:space="preserve">OPERATIONAL RISKS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margin, cuts DCF value to CLP 1,671 (−10.0%), and the historical floor of same-store rent growth takes it to CLP 1,782 (−4.0%) (Figure 24). </w:t>
            </w:r>
            <w:r>
              <w:rPr>
                <w:rFonts w:ascii="Arial" w:cs="Arial" w:eastAsia="Arial" w:hAnsi="Arial"/>
                <w:i/>
                <w:iCs/>
                <w:color w:val="5F5F5F"/>
                <w:sz w:val="16"/>
                <w:szCs w:val="16"/>
              </w:rPr>
              <w:t xml:space="preserve">(Non‑systematic · Medium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EBITDA margin rose from 76.2% (2022) to 80.5% (2025) and occupancy held between 95.5% and 96.6% in 2024-25. After COVID, 1Q22 revenue was already 18% above 1Q19.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The impact ranges from −1.3% to −4.0% (Figure 24). </w:t>
            </w:r>
            <w:r>
              <w:rPr>
                <w:rFonts w:ascii="Arial" w:cs="Arial" w:eastAsia="Arial" w:hAnsi="Arial"/>
                <w:i/>
                <w:iCs/>
                <w:color w:val="5F5F5F"/>
                <w:sz w:val="16"/>
                <w:szCs w:val="16"/>
              </w:rPr>
              <w:t xml:space="preserve">(Non‑systematic · Low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7.1 years) and a proven ability to convert anchor space into smaller stores with higher rent per m².</w:t>
            </w:r>
          </w:p>
          <w:p>
            <w:pPr>
              <w:pBdr>
                <w:bottom w:val="single" w:color="E9004B" w:sz="8" w:space="1"/>
              </w:pBdr>
              <w:spacing w:after="50" w:before="110"/>
            </w:pPr>
            <w:r>
              <w:rPr>
                <w:rFonts w:ascii="Arial" w:cs="Arial" w:eastAsia="Arial" w:hAnsi="Arial"/>
                <w:b/>
                <w:bCs/>
                <w:color w:val="14284B"/>
                <w:sz w:val="16"/>
                <w:szCs w:val="16"/>
              </w:rPr>
              <w:t xml:space="preserve">FINANCIAL RISKS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Higher long-term rates would raise the WACC and the cost of refinancing debt and the pipeline. Likelihood is high: the 10Y UST moved from 4.98% (model Rf) to 5.22% on 8-Oct-26, a 24-year high (since 2002); the Fed hiked in September and the Central Bank of Chile reports rising local long-term rates. With WACC +50 bp and +100 bp, the target price falls 6.5% and 12.3% (Figure 25). </w:t>
            </w:r>
            <w:r>
              <w:rPr>
                <w:rFonts w:ascii="Arial" w:cs="Arial" w:eastAsia="Arial" w:hAnsi="Arial"/>
                <w:i/>
                <w:iCs/>
                <w:color w:val="5F5F5F"/>
                <w:sz w:val="16"/>
                <w:szCs w:val="16"/>
              </w:rPr>
              <w:t xml:space="preserve">(Systematic · High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fixed-rate in UF, with ~6.7 years of duration, 2.36x net debt/EBITDA and AA+/BBB ratings, which limit the pass-through to the cost of debt; UF-linked rents offset inflation. A higher cost of equity cannot be hedged.</w:t>
            </w:r>
          </w:p>
          <w:p>
            <w:pPr>
              <w:pBdr>
                <w:bottom w:val="single" w:color="E9004B" w:sz="8" w:space="1"/>
              </w:pBdr>
              <w:spacing w:after="50" w:before="110"/>
            </w:pPr>
            <w:r>
              <w:rPr>
                <w:rFonts w:ascii="Arial" w:cs="Arial" w:eastAsia="Arial" w:hAnsi="Arial"/>
                <w:b/>
                <w:bCs/>
                <w:color w:val="14284B"/>
                <w:sz w:val="16"/>
                <w:szCs w:val="16"/>
              </w:rPr>
              <w:t xml:space="preserve">MARKET &amp; MACROECONOMIC RISKS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takes CLP 38,691 million off accounting earnings (Note 26). On the target price, however, the effect is slightly positive: indexed rents add CLP 40.8 per share and the higher UF debt subtracts 17.7, a net +23.1 (+1.1%) (Figure 26). The risk is that weaker consumption prevents passing the UF through to rents: without that pass-through, UF +3% takes 0.9% off the target price. Weaker consumption also slows the new business lines (Appendix [X]). </w:t>
            </w:r>
            <w:r>
              <w:rPr>
                <w:rFonts w:ascii="Arial" w:cs="Arial" w:eastAsia="Arial" w:hAnsi="Arial"/>
                <w:i/>
                <w:iCs/>
                <w:color w:val="5F5F5F"/>
                <w:sz w:val="16"/>
                <w:szCs w:val="16"/>
              </w:rPr>
              <w:t xml:space="preserve">(Systematic · High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24). </w:t>
            </w:r>
            <w:r>
              <w:rPr>
                <w:rFonts w:ascii="Arial" w:cs="Arial" w:eastAsia="Arial" w:hAnsi="Arial"/>
                <w:i/>
                <w:iCs/>
                <w:color w:val="5F5F5F"/>
                <w:sz w:val="16"/>
                <w:szCs w:val="16"/>
              </w:rPr>
              <w:t xml:space="preserve">(Systematic · Low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offer entertainment and dining, hard to replicate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Foreign exchange. </w:t>
            </w:r>
            <w:r>
              <w:rPr>
                <w:rFonts w:ascii="Arial" w:cs="Arial" w:eastAsia="Arial" w:hAnsi="Arial"/>
                <w:color w:val="1A1A1A"/>
                <w:sz w:val="16"/>
                <w:szCs w:val="16"/>
              </w:rPr>
              <w:t xml:space="preserve">Around 28% of revenue comes from Peru and Colombia, and the model assumes the sol rises from CLP 268 to 290 between 2026 and 2031. A 10% depreciation of the PEN and COP from 2027E takes 4.3% off DCF value, before hedges and the effect on local-currency debt (team estimate). </w:t>
            </w:r>
            <w:r>
              <w:rPr>
                <w:rFonts w:ascii="Arial" w:cs="Arial" w:eastAsia="Arial" w:hAnsi="Arial"/>
                <w:i/>
                <w:iCs/>
                <w:color w:val="5F5F5F"/>
                <w:sz w:val="16"/>
                <w:szCs w:val="16"/>
              </w:rPr>
              <w:t xml:space="preserve">(Systematic · Medium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Mallplaza raises debt in each country's currency and, where not possible, uses hedging derivatives (forwards, swaps and cross currency swaps) (Management Discussion 2Q26, p. 14).</w:t>
            </w:r>
          </w:p>
          <w:p>
            <w:pPr>
              <w:pBdr>
                <w:bottom w:val="single" w:color="E9004B" w:sz="8" w:space="1"/>
              </w:pBdr>
              <w:spacing w:after="50" w:before="110"/>
            </w:pPr>
            <w:r>
              <w:rPr>
                <w:rFonts w:ascii="Arial" w:cs="Arial" w:eastAsia="Arial" w:hAnsi="Arial"/>
                <w:b/>
                <w:bCs/>
                <w:color w:val="14284B"/>
                <w:sz w:val="16"/>
                <w:szCs w:val="16"/>
              </w:rPr>
              <w:t xml:space="preserve">REGULATORY &amp; ESG RISKS</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53.05% and leases space through Falabella, Sodimac and Tottus, which creates receivables with related parties. Fernando de Peña, Mallplaza's CEO for decades, has chaired Falabella since March 2026. Off-market contracts would directly affect rents and value. </w:t>
            </w:r>
            <w:r>
              <w:rPr>
                <w:rFonts w:ascii="Arial" w:cs="Arial" w:eastAsia="Arial" w:hAnsi="Arial"/>
                <w:i/>
                <w:iCs/>
                <w:color w:val="5F5F5F"/>
                <w:sz w:val="16"/>
                <w:szCs w:val="16"/>
              </w:rPr>
              <w:t xml:space="preserve">(Non‑systematic · Low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Changes in tax, permitting and economic policy in all three countries. In Chile, the ruling coalition lacks a comfortable majority in the lower house for the rest of its agenda (El Dínamo, 11-Mar-26). In Peru, Fuerza Popular lacks a majority in the new bicameral Congress and the MEF puts the cost of laws passed by the previous Congress at up to S/ 50,000 million (El Comercio). In Colombia, the finance ministry puts the deficit at 7.8% of GDP and proposes spending cuts of at least 1% of GDP (El Tiempo, Jul-26), and the central bank raised its rate to 12.25% (30-Sep-26), which slows consumption. Permit delays push back the pipeline (USD 613 million, 170,200 m² to 2028). </w:t>
            </w:r>
            <w:r>
              <w:rPr>
                <w:rFonts w:ascii="Arial" w:cs="Arial" w:eastAsia="Arial" w:hAnsi="Arial"/>
                <w:i/>
                <w:iCs/>
                <w:color w:val="5F5F5F"/>
                <w:sz w:val="16"/>
                <w:szCs w:val="16"/>
              </w:rPr>
              <w:t xml:space="preserve">(Systematic · Medium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pro-investment agendas. In Chile, Kast signed the Reconstruction Law (9-Oct-26), which gradually cuts corporate tax from 27% to 23% from 2027 (Emol, 9-Oct-26), S&amp;P affirmed its A stable rating and Law 21,770 (Sep-25) shortens permitting. In Peru, the minimum-wage rise to S/ 1,300 and the doubling of Pensión 65 support consumption (Infobae, 28-Jul-26). Colombia contributes only ~11% of revenue. The model keeps 27%: the Chilean cut would add ~3.9% to the target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Risk matrix</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8764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Background colour = severity (likelihood × impact). Source: Team analysis.</w:t>
            </w:r>
          </w:p>
          <w:p>
            <w:pPr>
              <w:spacing w:after="30" w:before="10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Operational risk tornado (CLP per share)</w:t>
            </w:r>
          </w:p>
          <w:p>
            <w:pPr>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Limits = historical low and high of each driver: Mallplaza earnings releases 4Q23–2Q26 (EBITDA margin, occupancy, same-store rent and sales, visitors) and financial statements (maintenance capex 2024 and LTM 2Q26; appraisal growth range, Note 11). Terminal WACC 10.41% and g 3.0% held constant. Source: Mallplaza; Team analysis.</w:t>
            </w:r>
          </w:p>
          <w:p>
            <w:pPr>
              <w:spacing w:after="30" w:before="10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Target price sensitivity: WACC vs g (CLP)</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55257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Target price = 80% DCF + 20% EV/EBITDA multiples (CLP 2,951). The g = 2.0% column uses the same formula as the Sensibilidad sheet. Source: Team analysis.</w:t>
            </w:r>
          </w:p>
          <w:p>
            <w:pPr>
              <w:spacing w:after="30" w:before="10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Target price sensitivity to a rise in the UF (CLP per share)</w:t>
            </w:r>
          </w:p>
          <w:p>
            <w:pPr>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2763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UF level shock from 2027E; WACC and g constant. Debt: net UF exposure from Note 26. Earnings: +3% reported; +1% and +2% extrapolated. Source: financial statements Jun-26, Note 26; Team analysis.</w:t>
            </w:r>
          </w:p>
        </w:tc>
      </w:tr>
    </w:tbl>
    <w:sectPr>
      <w:headerReference w:type="default" r:id="rId7"/>
      <w:footerReference w:type="default" r:id="rId8"/>
      <w:pgSz w:w="11906" w:h="16838" w:orient="portrait"/>
      <w:pgMar w:top="1000" w:right="620" w:bottom="900" w:left="620" w:header="450" w:footer="400" w:gutter="0"/>
      <w:pgNumType w:start="9"/>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c8ea2a55c01eaf39a5b555e17932328157a3b1.png"/><Relationship Id="rId10" Type="http://schemas.openxmlformats.org/officeDocument/2006/relationships/image" Target="media/f93973cef37e97655b8f2ee6a16d436dc31b144b.png"/><Relationship Id="rId11" Type="http://schemas.openxmlformats.org/officeDocument/2006/relationships/image" Target="media/622cee3aa81df98e2bbcd50166634b878e8dd818.png"/><Relationship Id="rId12" Type="http://schemas.openxmlformats.org/officeDocument/2006/relationships/image" Target="media/cf58b765b7de8ff377687c2671163528a8e708f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2026-10-14T17:54:57.022Z</dcterms:created>
  <dcterms:modified xsi:type="dcterms:W3CDTF">2026-10-14T17:54:57.022Z</dcterms:modified>
</cp:coreProperties>
</file>

<file path=docProps/custom.xml><?xml version="1.0" encoding="utf-8"?>
<Properties xmlns="http://schemas.openxmlformats.org/officeDocument/2006/custom-properties" xmlns:vt="http://schemas.openxmlformats.org/officeDocument/2006/docPropsVTypes"/>
</file>