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APPENDICES: 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A: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GLA pipeline 2026-2028: organic vs acquisitions (m²)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14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Source: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Plaza S.A. 2Q26 reports and 2025 Annual Report; Parque Arauco Investor Presentation 2Q26; Cenco Malls Corporate Presentation 2Q26. Dated projects only.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C: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Market share within the trio in Chile, 2Q22-2Q26 (% of GLA)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43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43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Source: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2Q22-2Q26 earnings reports of the three companies;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Appendix B: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Consolidated occupancy rate, 2Q22-2Q26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14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1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i w:val="false"/>
                <w:iCs w:val="false"/>
                <w:color w:val="5F5F5F"/>
                <w:sz w:val="11"/>
                <w:szCs w:val="11"/>
              </w:rPr>
              <w:t xml:space="preserve">Source: </w:t>
            </w:r>
            <w:r>
              <w:rPr>
                <w:rFonts w:ascii="Arial" w:cs="Arial" w:eastAsia="Arial" w:hAnsi="Arial"/>
                <w:i/>
                <w:iCs/>
                <w:color w:val="5F5F5F"/>
                <w:sz w:val="11"/>
                <w:szCs w:val="11"/>
              </w:rPr>
              <w:t xml:space="preserve">2Q22-2Q26 earnings reports of the three companies. Each company defines occupancy differently; Mallplaza includes Open Plaza since 2Q25.</w:t>
            </w:r>
          </w:p>
        </w:tc>
      </w:tr>
    </w:tbl>
    <w:p>
      <w:pPr>
        <w:spacing w:after="30" w:before="1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Appendix D: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Porter's five forces by country and key evidence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620"/>
        <w:gridCol w:w="620"/>
        <w:gridCol w:w="800"/>
        <w:gridCol w:w="620"/>
        <w:gridCol w:w="6306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Force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Chile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Peru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Colombia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Final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Key evidence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Rivalry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CR3 76% / 37% / 13%; race to reinvest in experience; asset acquisitions (Minka, Plaza Central; Quilín and Chicureo announced); supply above consumption in 2027-28. Stable shares and margins of 71-90%.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New entrants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Capital-intensive (USD 613 million for 170,200 m² at Mallplaza); incumbents' land banks; Peru and Colombia less concentrated; most malls in Colombia are strata-titled (multi-owner).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Bargaining power of tenants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occupancy 96-99%; average lease terms of 5.0-8.7 years; top 5 = 18% of Mallplaza revenue; Chile SSR above CPI (6.9% vs 4.8%, 1Q23-2Q26); department stores 19.0% of GLA.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Bargaining power of suppliers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Common-area expenses passed through to tenants (2025 Annual Report, note 2.20); cost of sales 6.2% of Mallplaza revenue.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Substitutes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2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</w:t>
            </w:r>
          </w:p>
        </w:tc>
        <w:tc>
          <w:tcPr>
            <w:tcW w:type="dxa" w:w="630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93% of Mallplaza rental income is fixed; 2Q26 visits +4.4% Chile, +1.3% Peru, +2.5% Colombia; shift toward experience. No official e-commerce data by country.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i w:val="false"/>
          <w:iCs w:val="false"/>
          <w:color w:val="5F5F5F"/>
          <w:sz w:val="11"/>
          <w:szCs w:val="11"/>
        </w:rPr>
        <w:t xml:space="preserve">Source: </w:t>
      </w:r>
      <w:r>
        <w:rPr>
          <w:rFonts w:ascii="Arial" w:cs="Arial" w:eastAsia="Arial" w:hAnsi="Arial"/>
          <w:i/>
          <w:iCs/>
          <w:color w:val="5F5F5F"/>
          <w:sz w:val="11"/>
          <w:szCs w:val="11"/>
        </w:rPr>
        <w:t xml:space="preserve">team analysis. 1-5 scale in whole numbers; final score = weighted average by Mallplaza GLA as of 2Q26 (Chile 61.9%, Peru 26.2%, Colombia 11.9%), rounded to the nearest integer. For new entrants, the weighted score sits at the threshold (1.5) and the team sets it at 2 given lower barriers to entry in Peru and Colombia. Detail and sources for each data point in Porter_industria_2Q26.xlsx.</w:t>
      </w:r>
    </w:p>
    <w:p>
      <w:pPr>
        <w:spacing w:after="30" w:before="1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Appendix E: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Key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966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Topic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Market share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Measured by GLA (not by sales) across the main operators in each country (slide 7, Institutional Presentation 2Q26). Partial HHI: it is a floor.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Pipeline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Only projects with dates in official reports as of 2Q26 and the 2025 Annual Report; for date ranges, the end of the range is used; acquisitions are not new supply for the industry.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Supply vs demand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only and only consumption-dependent m² (excludes offices and multifamily); base GLA excludes Cenco's offices. Private consumption from the Sep-2026 IPoM is used as a demand indicator, not as a sales forecast.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EBITDA per m²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as defined by each company (none includes IAS 40 revaluation gains); 2Q26 EBITDA not annualized; consolidated GLA at 100% of controlled assets.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Leases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Profile and term weighted by GLA: explicit for Cenco and in Parque Arauco's profile; assumption for Mallplaza.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Real sales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tenant sales 2Q26 vs 2Q25 deflated by 12-month CPI as of June 2026 (4.3%; INE, release dated July 8, 2026). Cenco 2Q25 calculated from its published change (−1.9%).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4284B"/>
                <w:sz w:val="13"/>
                <w:szCs w:val="13"/>
              </w:rPr>
              <w:t xml:space="preserve">Dates</w:t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Company data as of June 30, 2026; macro projections from the September 2026 IPoM, as the most recent available.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10a8de8705d486a1cc41f629d6e44a63c29c7d.png"/><Relationship Id="rId10" Type="http://schemas.openxmlformats.org/officeDocument/2006/relationships/image" Target="media/30db9ba6696526f51fce71150cb064598929c470.png"/><Relationship Id="rId11" Type="http://schemas.openxmlformats.org/officeDocument/2006/relationships/image" Target="media/79483e499b773861f736c4797e4f6cc8c65b3a9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2026-10-14T18:40:37.705Z</dcterms:created>
  <dcterms:modified xsi:type="dcterms:W3CDTF">2026-10-14T18:40:37.705Z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